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0"/>
        <w:spacing w:beforeLines="0" w:afterLines="0" w:line="500" w:lineRule="exact"/>
        <w:ind w:left="0"/>
        <w:jc w:val="center"/>
        <w:rPr>
          <w:sz w:val="28"/>
          <w:szCs w:val="28"/>
        </w:rPr>
      </w:pPr>
      <w:bookmarkStart w:id="0" w:name="_Toc422210084"/>
      <w:bookmarkStart w:id="1" w:name="_Toc414023100"/>
      <w:bookmarkStart w:id="2" w:name="_Toc408128013"/>
      <w:bookmarkStart w:id="3" w:name="_Toc407636334"/>
      <w:bookmarkStart w:id="4" w:name="_Toc407636297"/>
      <w:bookmarkStart w:id="5" w:name="_Toc407786004"/>
      <w:bookmarkStart w:id="6" w:name="_Toc422209598"/>
      <w:bookmarkStart w:id="7" w:name="_Toc418855314"/>
      <w:r>
        <w:rPr>
          <w:rFonts w:hint="eastAsia"/>
          <w:sz w:val="28"/>
          <w:szCs w:val="28"/>
        </w:rPr>
        <w:t>安徽省省级学术类社会团体评估指标及评分细则（试行）</w:t>
      </w:r>
      <w:bookmarkEnd w:id="0"/>
      <w:bookmarkEnd w:id="1"/>
      <w:bookmarkEnd w:id="2"/>
      <w:bookmarkEnd w:id="3"/>
      <w:bookmarkEnd w:id="4"/>
      <w:bookmarkEnd w:id="5"/>
      <w:bookmarkEnd w:id="6"/>
      <w:bookmarkEnd w:id="7"/>
    </w:p>
    <w:p>
      <w:pPr>
        <w:pStyle w:val="42"/>
      </w:pPr>
    </w:p>
    <w:tbl>
      <w:tblPr>
        <w:tblStyle w:val="29"/>
        <w:tblW w:w="14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基础条件（100分）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□登记证书正本无专人保管，证书正本未悬挂门厅处，或未规范使用（0分）  </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□办公面积50平米及以上(3分)                                                                                                   </w:t>
            </w:r>
            <w:r>
              <w:rPr>
                <w:rFonts w:hint="eastAsia" w:ascii="宋体" w:hAnsi="宋体" w:cs="宋体"/>
                <w:color w:val="000000"/>
                <w:kern w:val="0"/>
                <w:sz w:val="24"/>
              </w:rPr>
              <w:br w:type="textWrapping"/>
            </w:r>
            <w:r>
              <w:rPr>
                <w:rFonts w:hint="eastAsia" w:ascii="宋体" w:hAnsi="宋体" w:cs="宋体"/>
                <w:color w:val="000000"/>
                <w:kern w:val="0"/>
                <w:sz w:val="24"/>
              </w:rPr>
              <w:t>□办公面积50平米以下(1分)                                                              □无办公场所（0分）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□自有产权，提供产权证明；租赁，提供租赁合同；无偿使用，但独立办公(2分)                                           </w:t>
            </w:r>
            <w:r>
              <w:rPr>
                <w:rFonts w:hint="eastAsia" w:ascii="宋体" w:hAnsi="宋体" w:cs="宋体"/>
                <w:color w:val="000000"/>
                <w:kern w:val="0"/>
                <w:sz w:val="24"/>
              </w:rPr>
              <w:br w:type="textWrapping"/>
            </w:r>
            <w:r>
              <w:rPr>
                <w:rFonts w:hint="eastAsia" w:ascii="宋体" w:hAnsi="宋体" w:cs="宋体"/>
                <w:color w:val="000000"/>
                <w:kern w:val="0"/>
                <w:sz w:val="24"/>
              </w:rPr>
              <w:t>□其他情况(0分)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41" w:type="dxa"/>
            <w:vMerge w:val="continue"/>
          </w:tcPr>
          <w:p>
            <w:pPr>
              <w:pStyle w:val="42"/>
              <w:ind w:firstLine="0" w:firstLineChars="0"/>
              <w:rPr>
                <w:szCs w:val="18"/>
              </w:rPr>
            </w:pPr>
          </w:p>
        </w:tc>
        <w:tc>
          <w:tcPr>
            <w:tcW w:w="1237" w:type="dxa"/>
            <w:vMerge w:val="continue"/>
          </w:tcPr>
          <w:p>
            <w:pPr>
              <w:pStyle w:val="42"/>
              <w:ind w:firstLine="0" w:firstLineChars="0"/>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□有电脑、打印机、复印机等办公设备（3分）                                                                                                                            </w:t>
            </w:r>
            <w:r>
              <w:rPr>
                <w:rFonts w:hint="eastAsia" w:ascii="宋体" w:hAnsi="宋体" w:cs="宋体"/>
                <w:b/>
                <w:bCs/>
                <w:color w:val="000000"/>
                <w:kern w:val="0"/>
                <w:sz w:val="24"/>
              </w:rPr>
              <w:t>注：每专职工作人员必须有一台电脑，否则此项不得分，其余每样1分。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法定代表人  </w:t>
            </w:r>
          </w:p>
          <w:p>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7</w:t>
            </w:r>
          </w:p>
        </w:tc>
        <w:tc>
          <w:tcPr>
            <w:tcW w:w="1338"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任职资格         （5分）</w:t>
            </w: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任职资格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出现以下任何一种情况，此项不得分：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trPr>
        <w:tc>
          <w:tcPr>
            <w:tcW w:w="1241" w:type="dxa"/>
            <w:vMerge w:val="continue"/>
          </w:tcPr>
          <w:p>
            <w:pPr>
              <w:pStyle w:val="42"/>
              <w:rPr>
                <w:szCs w:val="18"/>
              </w:rPr>
            </w:pPr>
          </w:p>
        </w:tc>
        <w:tc>
          <w:tcPr>
            <w:tcW w:w="1237" w:type="dxa"/>
            <w:vMerge w:val="continue"/>
          </w:tcPr>
          <w:p>
            <w:pPr>
              <w:widowControl/>
              <w:textAlignment w:val="center"/>
              <w:rPr>
                <w:rFonts w:ascii="宋体" w:hAnsi="宋体" w:cs="宋体"/>
                <w:color w:val="000000"/>
                <w:kern w:val="0"/>
                <w:sz w:val="24"/>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□法定代表人未按章程规定选举产生(0分)</w:t>
            </w:r>
            <w:r>
              <w:rPr>
                <w:rFonts w:hint="eastAsia" w:ascii="宋体" w:hAnsi="宋体" w:cs="宋体"/>
                <w:color w:val="000000"/>
                <w:kern w:val="0"/>
                <w:sz w:val="24"/>
              </w:rPr>
              <w:br w:type="textWrapping"/>
            </w:r>
            <w:r>
              <w:rPr>
                <w:rFonts w:hint="eastAsia" w:ascii="宋体" w:hAnsi="宋体" w:cs="宋体"/>
                <w:b/>
                <w:bCs/>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注：若法定代表人未发生变更，其变更程序得满分。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登记和备案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pStyle w:val="42"/>
              <w:rPr>
                <w:szCs w:val="18"/>
              </w:rPr>
            </w:pPr>
          </w:p>
        </w:tc>
        <w:tc>
          <w:tcPr>
            <w:tcW w:w="1297" w:type="dxa"/>
            <w:vMerge w:val="restart"/>
          </w:tcPr>
          <w:p>
            <w:pPr>
              <w:pStyle w:val="42"/>
              <w:ind w:firstLine="480"/>
              <w:rPr>
                <w:rFonts w:hAnsi="宋体" w:eastAsia="宋体" w:cs="宋体"/>
                <w:color w:val="000000"/>
                <w:kern w:val="0"/>
                <w:sz w:val="24"/>
                <w:szCs w:val="24"/>
              </w:rPr>
            </w:pPr>
          </w:p>
          <w:p>
            <w:pPr>
              <w:pStyle w:val="42"/>
              <w:ind w:firstLine="480"/>
              <w:rPr>
                <w:rFonts w:hAnsi="宋体" w:eastAsia="宋体" w:cs="宋体"/>
                <w:color w:val="000000"/>
                <w:kern w:val="0"/>
                <w:sz w:val="24"/>
                <w:szCs w:val="24"/>
              </w:rPr>
            </w:pPr>
          </w:p>
          <w:p>
            <w:pPr>
              <w:pStyle w:val="42"/>
              <w:ind w:firstLine="480"/>
              <w:rPr>
                <w:rFonts w:hAnsi="宋体" w:eastAsia="宋体" w:cs="宋体"/>
                <w:color w:val="000000"/>
                <w:kern w:val="0"/>
                <w:sz w:val="24"/>
                <w:szCs w:val="24"/>
              </w:rPr>
            </w:pPr>
          </w:p>
          <w:p>
            <w:pPr>
              <w:pStyle w:val="42"/>
              <w:ind w:firstLine="480"/>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szCs w:val="18"/>
              </w:rPr>
            </w:pPr>
            <w:r>
              <w:rPr>
                <w:rFonts w:hint="eastAsia" w:hAnsi="宋体" w:eastAsia="宋体" w:cs="宋体"/>
                <w:color w:val="000000"/>
                <w:kern w:val="0"/>
                <w:sz w:val="24"/>
                <w:szCs w:val="24"/>
              </w:rPr>
              <w:t>变更登记（15分）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□负责人发生变更，未按章程规定履行内部表决程序（0分）                                          </w:t>
            </w:r>
            <w:r>
              <w:rPr>
                <w:rStyle w:val="49"/>
                <w:rFonts w:hint="default"/>
              </w:rPr>
              <w:t>注：负责人指会长、监事长、副会长、秘书长。</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备案内容                      （15分）</w:t>
            </w:r>
          </w:p>
        </w:tc>
        <w:tc>
          <w:tcPr>
            <w:tcW w:w="5189" w:type="dxa"/>
            <w:vAlign w:val="center"/>
          </w:tcPr>
          <w:p>
            <w:pPr>
              <w:widowControl/>
              <w:jc w:val="left"/>
              <w:textAlignment w:val="center"/>
              <w:rPr>
                <w:rStyle w:val="38"/>
                <w:rFonts w:hint="default"/>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Style w:val="38"/>
                <w:rFonts w:hint="default"/>
              </w:rPr>
              <w:t xml:space="preserve">                                                                                                □负责人、监事、印章、银行账户、会员名册等备案内容完整，且一届一备案（5分）                                                                                           □负责人、监事、印章、银行账户、会员名册等未备案或备案内容不完整，少一项扣1分   </w:t>
            </w:r>
          </w:p>
          <w:p>
            <w:pPr>
              <w:widowControl/>
              <w:jc w:val="left"/>
              <w:textAlignment w:val="center"/>
              <w:rPr>
                <w:rFonts w:ascii="宋体"/>
                <w:sz w:val="24"/>
              </w:rPr>
            </w:pPr>
            <w:r>
              <w:rPr>
                <w:rStyle w:val="38"/>
                <w:rFonts w:hint="default"/>
                <w:b/>
              </w:rPr>
              <w:t>换届备案</w:t>
            </w:r>
            <w:r>
              <w:rPr>
                <w:rStyle w:val="38"/>
                <w:rFonts w:hint="eastAsia"/>
                <w:b/>
                <w:lang w:val="en-US" w:eastAsia="zh-CN"/>
              </w:rPr>
              <w:t>;</w:t>
            </w:r>
            <w:r>
              <w:rPr>
                <w:rStyle w:val="38"/>
                <w:rFonts w:hint="default"/>
                <w:b/>
              </w:rPr>
              <w:t xml:space="preserve">                                                                              </w:t>
            </w:r>
            <w:r>
              <w:rPr>
                <w:rStyle w:val="38"/>
                <w:rFonts w:hint="default"/>
              </w:rPr>
              <w:t>□负责人、新会员名册等备案内容完整，且一届一备案（5分）                                                                                        □负责人、新会员名册等未备案或备案内容不完整，少一项扣1分</w:t>
            </w:r>
            <w:r>
              <w:rPr>
                <w:rStyle w:val="38"/>
                <w:rFonts w:hint="default"/>
              </w:rPr>
              <w:br w:type="textWrapping"/>
            </w:r>
            <w:r>
              <w:rPr>
                <w:rStyle w:val="38"/>
                <w:rFonts w:hint="default"/>
                <w:b/>
              </w:rPr>
              <w:t>重大事项备案</w:t>
            </w:r>
            <w:r>
              <w:rPr>
                <w:rStyle w:val="38"/>
                <w:rFonts w:hint="eastAsia"/>
                <w:b/>
                <w:lang w:val="en-US" w:eastAsia="zh-CN"/>
              </w:rPr>
              <w:t>:</w:t>
            </w:r>
            <w:r>
              <w:rPr>
                <w:rStyle w:val="38"/>
                <w:rFonts w:hint="default"/>
              </w:rPr>
              <w:t xml:space="preserve">                                                                                        □重大事项全部备案（5分）</w:t>
            </w:r>
            <w:r>
              <w:rPr>
                <w:rStyle w:val="38"/>
                <w:rFonts w:hint="default"/>
              </w:rPr>
              <w:br w:type="textWrapping"/>
            </w:r>
            <w:r>
              <w:rPr>
                <w:rStyle w:val="38"/>
                <w:rFonts w:hint="default"/>
              </w:rPr>
              <w:t xml:space="preserve">□重大事项存在未备案的情况（0分）                                                                                            </w:t>
            </w:r>
            <w:r>
              <w:rPr>
                <w:rStyle w:val="39"/>
                <w:rFonts w:hint="default"/>
              </w:rPr>
              <w:t xml:space="preserve">注：重大事项指组团境外考察、举办境内外展览展销、重大投资等。 </w:t>
            </w:r>
            <w:r>
              <w:rPr>
                <w:rStyle w:val="39"/>
                <w:rFonts w:hint="default"/>
              </w:rPr>
              <w:br w:type="textWrapping"/>
            </w:r>
            <w:r>
              <w:rPr>
                <w:rStyle w:val="39"/>
                <w:rFonts w:hint="default"/>
              </w:rPr>
              <w:t>若无发生换届、重大事项相关内容，则换届备案和重大事项备案满分。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□未按时向登记管理机关报送年检资料接受检查（0分）                                   </w:t>
            </w:r>
            <w:r>
              <w:rPr>
                <w:rStyle w:val="49"/>
                <w:rFonts w:hint="default"/>
              </w:rPr>
              <w:t>注：按时年检指评估期内连续两年。</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□两年内存在年检基本合格的情况，每一年扣5分，扣完10分为止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   公开制度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 xml:space="preserve">内容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 xml:space="preserve">方式  </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w:t>
            </w:r>
            <w:r>
              <w:rPr>
                <w:rFonts w:hint="eastAsia" w:ascii="宋体" w:hAnsi="宋体" w:cs="宋体"/>
                <w:color w:val="000000"/>
                <w:kern w:val="0"/>
                <w:sz w:val="24"/>
                <w:lang w:eastAsia="zh-CN"/>
              </w:rPr>
              <w:t>组织</w:t>
            </w:r>
            <w:r>
              <w:rPr>
                <w:rFonts w:hint="eastAsia" w:ascii="宋体" w:hAnsi="宋体" w:cs="宋体"/>
                <w:color w:val="000000"/>
                <w:kern w:val="0"/>
                <w:sz w:val="24"/>
              </w:rPr>
              <w:t>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Style w:val="49"/>
                <w:rFonts w:hint="default"/>
              </w:rPr>
              <w:t>注：信息公开方式包括网站、报刊、广播电视、公众号等。</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覆盖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3"/>
                <w:rFonts w:hint="default"/>
              </w:rPr>
              <w:t>注：指该社会组织工作人员和主要负责人中的党员</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39"/>
                <w:rFonts w:hint="default"/>
              </w:rPr>
              <w:t>注：设立工青妇一项1分；若工作人员数未达到建立要求不扣分。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39"/>
                <w:rFonts w:hint="default"/>
              </w:rPr>
              <w:t>注：必须在规定时间内进行换届，但未到换届期限的不扣分。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39"/>
                <w:rFonts w:hint="default"/>
              </w:rPr>
              <w:t>注：负责人为秘书长及以上。</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 xml:space="preserve">制度建设 </w:t>
            </w:r>
            <w:r>
              <w:rPr>
                <w:rFonts w:hint="eastAsia" w:ascii="宋体" w:hAnsi="宋体" w:cs="宋体"/>
                <w:color w:val="000000"/>
                <w:kern w:val="0"/>
                <w:sz w:val="24"/>
              </w:rPr>
              <w:br w:type="textWrapping"/>
            </w:r>
            <w:r>
              <w:rPr>
                <w:rFonts w:hint="eastAsia" w:ascii="宋体" w:hAnsi="宋体" w:cs="宋体"/>
                <w:color w:val="000000"/>
                <w:kern w:val="0"/>
                <w:sz w:val="24"/>
              </w:rPr>
              <w:t>（11分）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w:t>
            </w:r>
            <w:r>
              <w:rPr>
                <w:rFonts w:hint="eastAsia" w:ascii="宋体" w:hAnsi="宋体" w:cs="宋体"/>
                <w:color w:val="000000"/>
                <w:kern w:val="0"/>
                <w:sz w:val="24"/>
              </w:rPr>
              <w:br w:type="textWrapping"/>
            </w:r>
            <w:r>
              <w:rPr>
                <w:rFonts w:hint="eastAsia" w:ascii="宋体" w:hAnsi="宋体" w:cs="宋体"/>
                <w:color w:val="000000"/>
                <w:kern w:val="0"/>
                <w:sz w:val="24"/>
              </w:rPr>
              <w:t>制度           （11分）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r>
              <w:rPr>
                <w:rFonts w:hint="eastAsia" w:ascii="宋体"/>
                <w:sz w:val="24"/>
              </w:rPr>
              <w:t>基本保障           （16分）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9"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vMerge w:val="restart"/>
          </w:tcPr>
          <w:p>
            <w:pPr>
              <w:pStyle w:val="42"/>
              <w:rPr>
                <w:szCs w:val="18"/>
              </w:rPr>
            </w:pPr>
          </w:p>
        </w:tc>
        <w:tc>
          <w:tcPr>
            <w:tcW w:w="1256" w:type="dxa"/>
            <w:vMerge w:val="restart"/>
          </w:tcPr>
          <w:p>
            <w:pPr>
              <w:pStyle w:val="42"/>
              <w:rPr>
                <w:szCs w:val="18"/>
              </w:rPr>
            </w:pPr>
          </w:p>
        </w:tc>
        <w:tc>
          <w:tcPr>
            <w:tcW w:w="1298" w:type="dxa"/>
            <w:vMerge w:val="restart"/>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vMerge w:val="continue"/>
          </w:tcPr>
          <w:p>
            <w:pPr>
              <w:pStyle w:val="42"/>
              <w:rPr>
                <w:szCs w:val="18"/>
              </w:rPr>
            </w:pPr>
          </w:p>
        </w:tc>
        <w:tc>
          <w:tcPr>
            <w:tcW w:w="1256" w:type="dxa"/>
            <w:vMerge w:val="continue"/>
          </w:tcPr>
          <w:p>
            <w:pPr>
              <w:pStyle w:val="42"/>
              <w:rPr>
                <w:szCs w:val="18"/>
              </w:rPr>
            </w:pPr>
          </w:p>
        </w:tc>
        <w:tc>
          <w:tcPr>
            <w:tcW w:w="1298" w:type="dxa"/>
            <w:vMerge w:val="continue"/>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章程</w:t>
            </w:r>
          </w:p>
          <w:p>
            <w:pPr>
              <w:widowControl/>
              <w:jc w:val="center"/>
              <w:textAlignment w:val="center"/>
              <w:rPr>
                <w:rFonts w:ascii="宋体"/>
                <w:sz w:val="18"/>
              </w:rPr>
            </w:pP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                                                                                                                                               </w:t>
            </w:r>
            <w:r>
              <w:rPr>
                <w:rStyle w:val="49"/>
                <w:rFonts w:hint="default"/>
              </w:rPr>
              <w:t>注：提供会员（代表）大会会议纪要及签到表。</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Style w:val="49"/>
                <w:rFonts w:hint="default"/>
              </w:rPr>
              <w:t>注：在会员（代表）大会后15日内,报登记管理机关核准，提供章程核准表。</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发展规划与总结（15分）</w:t>
            </w:r>
          </w:p>
        </w:tc>
        <w:tc>
          <w:tcPr>
            <w:tcW w:w="1297"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届内发展 </w:t>
            </w:r>
            <w:r>
              <w:rPr>
                <w:rFonts w:hint="eastAsia" w:ascii="宋体" w:hAnsi="宋体" w:cs="宋体"/>
                <w:color w:val="000000"/>
                <w:kern w:val="0"/>
                <w:sz w:val="24"/>
              </w:rPr>
              <w:br w:type="textWrapping"/>
            </w:r>
            <w:r>
              <w:rPr>
                <w:rFonts w:hint="eastAsia" w:ascii="宋体" w:hAnsi="宋体" w:cs="宋体"/>
                <w:color w:val="000000"/>
                <w:kern w:val="0"/>
                <w:sz w:val="24"/>
              </w:rPr>
              <w:t>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□未制定规划且其他材料不能体现届内组织发展规划内容（0分）                                                      </w:t>
            </w:r>
            <w:r>
              <w:rPr>
                <w:rFonts w:hint="eastAsia" w:ascii="宋体" w:hAnsi="宋体" w:cs="宋体"/>
                <w:color w:val="000000"/>
                <w:kern w:val="0"/>
                <w:sz w:val="24"/>
              </w:rPr>
              <w:br w:type="textWrapping"/>
            </w:r>
            <w:r>
              <w:rPr>
                <w:rStyle w:val="49"/>
                <w:rFonts w:hint="default"/>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Style w:val="49"/>
                <w:rFonts w:hint="default"/>
              </w:rPr>
              <w:t>注：将届内规划内容与相关业务活动相对照。</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Style w:val="49"/>
                <w:rFonts w:hint="default"/>
              </w:rPr>
              <w:t>注：如延期召开会员（代表）大会经理事会表决通过，经登记管理机关批准同意的视为按期召开，但延期最长不得超过1年。</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Style w:val="39"/>
                <w:rFonts w:hint="default"/>
              </w:rPr>
              <w:t>注：提前或延期换届经登记管理机关批准同意视为按期换届。</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Style w:val="39"/>
                <w:rFonts w:hint="default"/>
              </w:rPr>
              <w:t>注：提供召开理事会会议通过的决议。</w:t>
            </w:r>
            <w:r>
              <w:rPr>
                <w:rStyle w:val="38"/>
                <w:rFonts w:hint="default"/>
              </w:rPr>
              <w:br w:type="textWrapping"/>
            </w:r>
            <w:r>
              <w:rPr>
                <w:rStyle w:val="39"/>
                <w:rFonts w:hint="default"/>
              </w:rPr>
              <w:t xml:space="preserve">重大事项包括章程修改、变更、投资、会费收取标准等。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Style w:val="39"/>
                <w:rFonts w:hint="default"/>
              </w:rPr>
              <w:t>注：不得设置地域性分支（代表）机构。</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注：按章程规定不设监事会的，不扣分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w:t>
            </w:r>
            <w:r>
              <w:rPr>
                <w:rFonts w:hint="eastAsia" w:ascii="宋体" w:hAnsi="宋体" w:cs="宋体"/>
                <w:color w:val="000000"/>
                <w:kern w:val="0"/>
                <w:sz w:val="24"/>
                <w:lang w:val="en-US" w:eastAsia="zh-CN"/>
              </w:rPr>
              <w:t>4</w:t>
            </w:r>
            <w:r>
              <w:rPr>
                <w:rFonts w:hint="eastAsia" w:ascii="宋体" w:hAnsi="宋体" w:cs="宋体"/>
                <w:color w:val="000000"/>
                <w:kern w:val="0"/>
                <w:sz w:val="24"/>
              </w:rPr>
              <w:t>分）                                                                        □无监事会的，设有1-2名监事（3分）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□监事制度健全，并按章程规定履行职能（5分）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w:t>
            </w:r>
            <w:r>
              <w:rPr>
                <w:rFonts w:hint="eastAsia" w:ascii="宋体" w:hAnsi="宋体" w:cs="宋体"/>
                <w:color w:val="000000"/>
                <w:kern w:val="0"/>
                <w:sz w:val="24"/>
              </w:rPr>
              <w:br w:type="textWrapping"/>
            </w:r>
            <w:r>
              <w:rPr>
                <w:rFonts w:hint="eastAsia" w:ascii="宋体" w:hAnsi="宋体" w:cs="宋体"/>
                <w:color w:val="000000"/>
                <w:kern w:val="0"/>
                <w:sz w:val="24"/>
              </w:rPr>
              <w:t>数量</w:t>
            </w:r>
            <w:r>
              <w:rPr>
                <w:rFonts w:hint="eastAsia" w:ascii="宋体" w:hAnsi="宋体" w:cs="宋体"/>
                <w:color w:val="000000"/>
                <w:kern w:val="0"/>
                <w:sz w:val="24"/>
              </w:rPr>
              <w:br w:type="textWrapping"/>
            </w:r>
            <w:r>
              <w:rPr>
                <w:rFonts w:hint="eastAsia" w:ascii="宋体" w:hAnsi="宋体" w:cs="宋体"/>
                <w:color w:val="000000"/>
                <w:kern w:val="0"/>
                <w:sz w:val="24"/>
              </w:rPr>
              <w:t>(9分)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三人及以上为满分，少1人扣3分，扣完为止。</w:t>
            </w:r>
            <w:r>
              <w:rPr>
                <w:rFonts w:hint="eastAsia" w:ascii="宋体" w:hAnsi="宋体" w:cs="宋体"/>
                <w:color w:val="000000"/>
                <w:kern w:val="0"/>
                <w:sz w:val="24"/>
              </w:rPr>
              <w:br w:type="textWrapping"/>
            </w:r>
            <w:r>
              <w:rPr>
                <w:rStyle w:val="39"/>
                <w:rFonts w:hint="default"/>
              </w:rPr>
              <w:t>注：专职工作人员指建立劳动关系并购买社保的工作人员。返聘、劳动关系在其他单位的工作人员，按50%赋分。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□专职工作人员具有职称的达到20%（4分）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人事管理 </w:t>
            </w:r>
            <w:r>
              <w:rPr>
                <w:rFonts w:hint="eastAsia" w:ascii="宋体" w:hAnsi="宋体" w:cs="宋体"/>
                <w:color w:val="000000"/>
                <w:kern w:val="0"/>
                <w:sz w:val="24"/>
              </w:rPr>
              <w:br w:type="textWrapping"/>
            </w:r>
            <w:r>
              <w:rPr>
                <w:rFonts w:hint="eastAsia" w:ascii="宋体" w:hAnsi="宋体" w:cs="宋体"/>
                <w:color w:val="000000"/>
                <w:kern w:val="0"/>
                <w:sz w:val="24"/>
              </w:rPr>
              <w:t>制度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Style w:val="39"/>
                <w:rFonts w:hint="default"/>
              </w:rPr>
              <w:t>注：包括薪酬、奖惩、考勤休假、聘用制度、考核制度，每项1分。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□有一人未与专职工作人员签订劳动合同（0分）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p>
            <w:pPr>
              <w:widowControl/>
              <w:jc w:val="center"/>
              <w:textAlignment w:val="center"/>
              <w:rPr>
                <w:rFonts w:ascii="宋体"/>
                <w:sz w:val="18"/>
              </w:rPr>
            </w:pPr>
            <w:r>
              <w:rPr>
                <w:rFonts w:hint="eastAsia" w:ascii="宋体" w:hAnsi="宋体" w:cs="宋体"/>
                <w:color w:val="000000"/>
                <w:kern w:val="0"/>
                <w:sz w:val="24"/>
              </w:rPr>
              <w:br w:type="textWrapping"/>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                                                                                                                                </w:t>
            </w:r>
            <w:r>
              <w:rPr>
                <w:rStyle w:val="49"/>
                <w:rFonts w:hint="default"/>
              </w:rPr>
              <w:t>注：负责人指会长、副会长、监事长、秘书长</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w:t>
            </w:r>
            <w:r>
              <w:rPr>
                <w:rFonts w:hint="eastAsia" w:ascii="宋体" w:hAnsi="宋体" w:cs="宋体"/>
                <w:color w:val="000000"/>
                <w:kern w:val="0"/>
                <w:sz w:val="24"/>
              </w:rPr>
              <w:br w:type="textWrapping"/>
            </w:r>
            <w:r>
              <w:rPr>
                <w:rFonts w:hint="eastAsia" w:ascii="宋体" w:hAnsi="宋体" w:cs="宋体"/>
                <w:color w:val="000000"/>
                <w:kern w:val="0"/>
                <w:sz w:val="24"/>
              </w:rPr>
              <w:t>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Style w:val="49"/>
                <w:rFonts w:hint="default"/>
              </w:rPr>
              <w:t>注：负责人指会长、副会长、监事长、秘书长</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Style w:val="39"/>
                <w:rFonts w:hint="default"/>
              </w:rPr>
              <w:t xml:space="preserve">注：秘书长专职指秘书长只在本单位任职，并且只担任秘书长职务。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Style w:val="49"/>
                <w:rFonts w:hint="default"/>
              </w:rPr>
              <w:t>注：若经登记管理机关核准的章程中规定不收取会费，则会费管理得满分。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保有率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Style w:val="39"/>
                <w:rFonts w:hint="default"/>
              </w:rPr>
              <w:t>注：提供近两年会员总数。</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Style w:val="49"/>
                <w:rFonts w:hint="default"/>
              </w:rPr>
              <w:t>存在以下事项的，不得分：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w:t>
            </w:r>
            <w:r>
              <w:rPr>
                <w:rFonts w:hint="eastAsia" w:ascii="宋体" w:hAnsi="宋体" w:cs="宋体"/>
                <w:color w:val="000000"/>
                <w:kern w:val="0"/>
                <w:sz w:val="24"/>
              </w:rPr>
              <w:br w:type="textWrapping"/>
            </w:r>
            <w:r>
              <w:rPr>
                <w:rFonts w:hint="eastAsia" w:ascii="宋体" w:hAnsi="宋体" w:cs="宋体"/>
                <w:color w:val="000000"/>
                <w:kern w:val="0"/>
                <w:sz w:val="24"/>
              </w:rPr>
              <w:t>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w:t>
            </w:r>
            <w:r>
              <w:rPr>
                <w:rFonts w:hint="eastAsia" w:ascii="宋体" w:hAnsi="宋体" w:cs="宋体"/>
                <w:color w:val="000000"/>
                <w:kern w:val="0"/>
                <w:sz w:val="24"/>
              </w:rPr>
              <w:br w:type="textWrapping"/>
            </w:r>
            <w:r>
              <w:rPr>
                <w:rFonts w:hint="eastAsia" w:ascii="宋体" w:hAnsi="宋体" w:cs="宋体"/>
                <w:color w:val="000000"/>
                <w:kern w:val="0"/>
                <w:sz w:val="24"/>
              </w:rPr>
              <w:t>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法定活动 </w:t>
            </w:r>
            <w:r>
              <w:rPr>
                <w:rFonts w:hint="eastAsia" w:ascii="宋体" w:hAnsi="宋体" w:cs="宋体"/>
                <w:color w:val="000000"/>
                <w:kern w:val="0"/>
                <w:sz w:val="24"/>
              </w:rPr>
              <w:br w:type="textWrapping"/>
            </w:r>
            <w:r>
              <w:rPr>
                <w:rFonts w:hint="eastAsia" w:ascii="宋体" w:hAnsi="宋体" w:cs="宋体"/>
                <w:color w:val="000000"/>
                <w:kern w:val="0"/>
                <w:sz w:val="24"/>
              </w:rPr>
              <w:t xml:space="preserve">资金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□上年末净资产低于登记注册资金，且发现存在抽逃注册资金行为（0分）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□严格执行《民间非营利组织会计制度》，且会计核算无任何问题（25分）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财务管理 </w:t>
            </w:r>
            <w:r>
              <w:rPr>
                <w:rFonts w:hint="eastAsia" w:ascii="宋体" w:hAnsi="宋体" w:cs="宋体"/>
                <w:color w:val="000000"/>
                <w:kern w:val="0"/>
                <w:sz w:val="24"/>
              </w:rPr>
              <w:br w:type="textWrapping"/>
            </w:r>
            <w:r>
              <w:rPr>
                <w:rFonts w:hint="eastAsia" w:ascii="宋体" w:hAnsi="宋体" w:cs="宋体"/>
                <w:color w:val="000000"/>
                <w:kern w:val="0"/>
                <w:sz w:val="24"/>
              </w:rPr>
              <w:t xml:space="preserve">执行 </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Style w:val="49"/>
                <w:rFonts w:hint="default"/>
              </w:rPr>
              <w:t>注：财务制度详细与否根据《民间非营利组织会计制度》的条款确定。</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w:t>
            </w:r>
            <w:r>
              <w:rPr>
                <w:rFonts w:hint="eastAsia" w:ascii="宋体" w:hAnsi="宋体" w:cs="宋体"/>
                <w:color w:val="000000"/>
                <w:kern w:val="0"/>
                <w:sz w:val="24"/>
              </w:rPr>
              <w:br w:type="textWrapping"/>
            </w:r>
            <w:r>
              <w:rPr>
                <w:rFonts w:hint="eastAsia" w:ascii="宋体" w:hAnsi="宋体" w:cs="宋体"/>
                <w:color w:val="000000"/>
                <w:kern w:val="0"/>
                <w:sz w:val="24"/>
              </w:rPr>
              <w:t>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□近两年，资产增幅高于10%（10分）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□近两年，资产增幅高于5%（7分）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投资管理事前进行充分论证，事后进行跟踪监管，严格程序、防范风险、保障收益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□按规定向会员大会、理事会报告财务状况（10分）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□未按规定向报告会员大会、理事会报告财务状（0分）             </w:t>
            </w:r>
            <w:r>
              <w:rPr>
                <w:rFonts w:hint="eastAsia" w:ascii="宋体" w:hAnsi="宋体" w:cs="宋体"/>
                <w:color w:val="000000"/>
                <w:kern w:val="0"/>
                <w:sz w:val="24"/>
              </w:rPr>
              <w:br w:type="textWrapping"/>
            </w:r>
            <w:r>
              <w:rPr>
                <w:rStyle w:val="49"/>
                <w:rFonts w:hint="default"/>
              </w:rPr>
              <w:t>注：财务状况应包括资金来源和使用、业务活动资金、资产情况。</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kern w:val="0"/>
                <w:sz w:val="24"/>
              </w:rPr>
              <w:t>年度审计</w:t>
            </w:r>
            <w:r>
              <w:rPr>
                <w:rFonts w:hint="eastAsia" w:ascii="宋体" w:hAnsi="宋体" w:cs="宋体"/>
                <w:color w:val="000000"/>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离任审计</w:t>
            </w:r>
            <w:r>
              <w:rPr>
                <w:rFonts w:ascii="宋体" w:hAnsi="宋体" w:cs="宋体"/>
                <w:b/>
                <w:color w:val="000000"/>
                <w:kern w:val="0"/>
                <w:sz w:val="24"/>
              </w:rPr>
              <w:t xml:space="preserve"> </w:t>
            </w:r>
            <w:r>
              <w:rPr>
                <w:rFonts w:hint="eastAsia" w:ascii="宋体" w:hAnsi="宋体" w:cs="宋体"/>
                <w:color w:val="000000"/>
                <w:kern w:val="0"/>
                <w:sz w:val="24"/>
              </w:rPr>
              <w:t xml:space="preserve">                                                                             □无离任或能提供离任审计报告（5分）</w:t>
            </w:r>
            <w:r>
              <w:rPr>
                <w:rFonts w:hint="eastAsia" w:ascii="宋体" w:hAnsi="宋体" w:cs="宋体"/>
                <w:color w:val="000000"/>
                <w:kern w:val="0"/>
                <w:sz w:val="24"/>
              </w:rPr>
              <w:br w:type="textWrapping"/>
            </w:r>
            <w:r>
              <w:rPr>
                <w:rFonts w:hint="eastAsia" w:ascii="宋体" w:hAnsi="宋体" w:cs="宋体"/>
                <w:color w:val="000000"/>
                <w:kern w:val="0"/>
                <w:sz w:val="24"/>
              </w:rPr>
              <w:t>□出现离任但不能提供离任审计报告（0分）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r>
              <w:rPr>
                <w:rFonts w:hint="eastAsia" w:ascii="宋体"/>
                <w:sz w:val="24"/>
              </w:rPr>
              <w:t>档案印章管理</w:t>
            </w:r>
          </w:p>
          <w:p>
            <w:pPr>
              <w:widowControl/>
              <w:textAlignment w:val="center"/>
              <w:rPr>
                <w:rFonts w:ascii="宋体"/>
                <w:sz w:val="24"/>
              </w:rPr>
            </w:pPr>
            <w:r>
              <w:rPr>
                <w:rFonts w:hint="eastAsia" w:ascii="宋体"/>
                <w:sz w:val="24"/>
              </w:rPr>
              <w:t>（20分</w:t>
            </w: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jc w:val="center"/>
              <w:textAlignment w:val="center"/>
              <w:rPr>
                <w:rFonts w:ascii="宋体"/>
                <w:sz w:val="24"/>
              </w:rPr>
            </w:pPr>
          </w:p>
          <w:p>
            <w:pPr>
              <w:widowControl/>
              <w:jc w:val="center"/>
              <w:textAlignment w:val="center"/>
              <w:rPr>
                <w:rFonts w:ascii="宋体"/>
                <w:sz w:val="24"/>
              </w:rPr>
            </w:pPr>
            <w:r>
              <w:rPr>
                <w:rFonts w:hint="eastAsia" w:ascii="宋体"/>
                <w:sz w:val="24"/>
              </w:rPr>
              <w:t>档案印章管理</w:t>
            </w:r>
          </w:p>
          <w:p>
            <w:pPr>
              <w:widowControl/>
              <w:jc w:val="center"/>
              <w:textAlignment w:val="center"/>
              <w:rPr>
                <w:rFonts w:ascii="宋体"/>
                <w:sz w:val="24"/>
              </w:rPr>
            </w:pPr>
            <w:r>
              <w:rPr>
                <w:rFonts w:hint="eastAsia" w:ascii="宋体"/>
                <w:sz w:val="24"/>
              </w:rPr>
              <w:t>（20分）</w:t>
            </w:r>
          </w:p>
          <w:p>
            <w:pPr>
              <w:widowControl/>
              <w:jc w:val="center"/>
              <w:textAlignment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档案管理制度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档案保管情况</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□未做到会计凭证、账本、报表及会计资料装订整齐(0分)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印章管理      (10分)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Style w:val="49"/>
                <w:rFonts w:hint="default"/>
              </w:rPr>
              <w:t>注:印章包含公章及财务章。</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□印章无使用登记不详细(0分)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bookmarkStart w:id="8" w:name="_GoBack"/>
            <w:bookmarkEnd w:id="8"/>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提供服务（130分）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提供服务（130分）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服务会员   （60分）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□开展相关业务培训或继续教育1次4分，满分20分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□提供技术、经济、管理、法律咨询等事项1次2分，共计10分                                            </w:t>
            </w:r>
            <w:r>
              <w:rPr>
                <w:rStyle w:val="39"/>
                <w:rFonts w:hint="default"/>
              </w:rPr>
              <w:t>注：咨询项目必须提供合同或正式文件。</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Style w:val="39"/>
                <w:rFonts w:hint="default"/>
              </w:rPr>
              <w:t>注：显著效益需提供相关行业、会员因交流平台而取得的收益证明。</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Style w:val="39"/>
                <w:rFonts w:hint="default"/>
              </w:rPr>
              <w:t>注：制度化指组织业务活动持续</w:t>
            </w:r>
            <w:r>
              <w:rPr>
                <w:rStyle w:val="39"/>
                <w:rFonts w:hint="eastAsia"/>
                <w:lang w:eastAsia="zh-CN"/>
              </w:rPr>
              <w:t>两</w:t>
            </w:r>
            <w:r>
              <w:rPr>
                <w:rStyle w:val="39"/>
                <w:rFonts w:hint="default"/>
              </w:rPr>
              <w:t>年以上，且活动人数在100人以上。</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服务政府   （40分）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参与政策    制定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承接政府项目</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□承接政府委托、购买、转移项目1项5分，满分20分                                                   </w:t>
            </w:r>
            <w:r>
              <w:rPr>
                <w:rStyle w:val="49"/>
                <w:rFonts w:hint="default"/>
              </w:rPr>
              <w:t>注：近</w:t>
            </w:r>
            <w:r>
              <w:rPr>
                <w:rStyle w:val="49"/>
                <w:rFonts w:hint="eastAsia"/>
                <w:lang w:eastAsia="zh-CN"/>
              </w:rPr>
              <w:t>两</w:t>
            </w:r>
            <w:r>
              <w:rPr>
                <w:rStyle w:val="49"/>
                <w:rFonts w:hint="default"/>
              </w:rPr>
              <w:t>年承接政府项目总数。</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承接项目金额</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49"/>
                <w:rFonts w:hint="default"/>
              </w:rPr>
              <w:t>注：近</w:t>
            </w:r>
            <w:r>
              <w:rPr>
                <w:rStyle w:val="49"/>
                <w:rFonts w:hint="eastAsia"/>
                <w:lang w:eastAsia="zh-CN"/>
              </w:rPr>
              <w:t>两</w:t>
            </w:r>
            <w:r>
              <w:rPr>
                <w:rStyle w:val="49"/>
                <w:rFonts w:hint="default"/>
              </w:rPr>
              <w:t>年承接政府项目总额。</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textAlignment w:val="center"/>
              <w:rPr>
                <w:rFonts w:ascii="宋体"/>
                <w:sz w:val="24"/>
              </w:rPr>
            </w:pPr>
          </w:p>
          <w:p>
            <w:pPr>
              <w:widowControl/>
              <w:jc w:val="center"/>
              <w:textAlignment w:val="center"/>
              <w:rPr>
                <w:rFonts w:ascii="宋体"/>
                <w:sz w:val="24"/>
              </w:rPr>
            </w:pPr>
            <w:r>
              <w:rPr>
                <w:rFonts w:hint="eastAsia" w:ascii="宋体"/>
                <w:sz w:val="24"/>
              </w:rPr>
              <w:t xml:space="preserve">服务社会           （30分）  </w:t>
            </w: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□开展公益活动每次4</w:t>
            </w:r>
            <w:r>
              <w:rPr>
                <w:rFonts w:hint="eastAsia" w:ascii="宋体" w:hAnsi="宋体" w:cs="宋体"/>
                <w:color w:val="000000"/>
                <w:kern w:val="0"/>
                <w:sz w:val="24"/>
                <w:lang w:eastAsia="zh-CN"/>
              </w:rPr>
              <w:t>分</w:t>
            </w:r>
            <w:r>
              <w:rPr>
                <w:rFonts w:hint="eastAsia" w:ascii="宋体" w:hAnsi="宋体" w:cs="宋体"/>
                <w:color w:val="000000"/>
                <w:kern w:val="0"/>
                <w:sz w:val="24"/>
              </w:rPr>
              <w:t>，满分20分。</w:t>
            </w:r>
            <w:r>
              <w:rPr>
                <w:rFonts w:hint="eastAsia" w:ascii="宋体" w:hAnsi="宋体" w:cs="宋体"/>
                <w:color w:val="000000"/>
                <w:kern w:val="0"/>
                <w:sz w:val="24"/>
              </w:rPr>
              <w:br w:type="textWrapping"/>
            </w:r>
            <w:r>
              <w:rPr>
                <w:rStyle w:val="39"/>
                <w:rFonts w:hint="default"/>
              </w:rPr>
              <w:t>注：公益活动覆盖领域包括扶贫、文化保护、社会救助、环境保护等领。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□倡导会员服务社会公众1次2分，满分10分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学术活动（150分）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学术活动（150分）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学术交流</w:t>
            </w:r>
            <w:r>
              <w:rPr>
                <w:rFonts w:hint="eastAsia" w:ascii="宋体" w:hAnsi="宋体" w:cs="宋体"/>
                <w:color w:val="000000"/>
                <w:kern w:val="0"/>
                <w:sz w:val="24"/>
              </w:rPr>
              <w:br w:type="textWrapping"/>
            </w:r>
            <w:r>
              <w:rPr>
                <w:rFonts w:hint="eastAsia" w:ascii="宋体" w:hAnsi="宋体" w:cs="宋体"/>
                <w:color w:val="000000"/>
                <w:kern w:val="0"/>
                <w:sz w:val="24"/>
              </w:rPr>
              <w:t>（70分）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举办学术会议</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□组织召开学术会议1次5分，满分30分                                                                              </w:t>
            </w:r>
            <w:r>
              <w:rPr>
                <w:rStyle w:val="39"/>
                <w:rFonts w:hint="default"/>
              </w:rPr>
              <w:t>注：学术会议包括学术年会、研讨会和参会人数在30人以上的学术沙龙等。</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学术会议论文</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□学术会议论文汇编成册1册5分，满分20分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学术会议</w:t>
            </w:r>
            <w:r>
              <w:rPr>
                <w:rFonts w:hint="eastAsia" w:ascii="宋体" w:hAnsi="宋体" w:cs="宋体"/>
                <w:color w:val="000000"/>
                <w:kern w:val="0"/>
                <w:sz w:val="24"/>
              </w:rPr>
              <w:br w:type="textWrapping"/>
            </w:r>
            <w:r>
              <w:rPr>
                <w:rFonts w:hint="eastAsia" w:ascii="宋体" w:hAnsi="宋体" w:cs="宋体"/>
                <w:color w:val="000000"/>
                <w:kern w:val="0"/>
                <w:sz w:val="24"/>
              </w:rPr>
              <w:t xml:space="preserve">影响力 </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□吸引4个及以上全国性知名学者或境外学者参加会议（20分）</w:t>
            </w:r>
            <w:r>
              <w:rPr>
                <w:rFonts w:hint="eastAsia" w:ascii="宋体" w:hAnsi="宋体" w:cs="宋体"/>
                <w:color w:val="000000"/>
                <w:kern w:val="0"/>
                <w:sz w:val="24"/>
              </w:rPr>
              <w:br w:type="textWrapping"/>
            </w:r>
            <w:r>
              <w:rPr>
                <w:rFonts w:hint="eastAsia" w:ascii="宋体" w:hAnsi="宋体" w:cs="宋体"/>
                <w:color w:val="000000"/>
                <w:kern w:val="0"/>
                <w:sz w:val="24"/>
              </w:rPr>
              <w:t>□吸引2个及以上全国性知名学者或境外学者参加会议（10分）                                         □吸引1个境外学者参加学术会议或举办省级学术会议（5分）</w:t>
            </w:r>
            <w:r>
              <w:rPr>
                <w:rFonts w:hint="eastAsia" w:ascii="宋体" w:hAnsi="宋体" w:cs="宋体"/>
                <w:color w:val="000000"/>
                <w:kern w:val="0"/>
                <w:sz w:val="24"/>
              </w:rPr>
              <w:br w:type="textWrapping"/>
            </w:r>
            <w:r>
              <w:rPr>
                <w:rFonts w:hint="eastAsia" w:ascii="宋体" w:hAnsi="宋体" w:cs="宋体"/>
                <w:color w:val="000000"/>
                <w:kern w:val="0"/>
                <w:sz w:val="24"/>
              </w:rPr>
              <w:t>□未吸引其他国家的学者参加会议或未举办省级学术会议（0分）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学术刊物</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专业期刊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□有专业期刊（20分）</w:t>
            </w:r>
            <w:r>
              <w:rPr>
                <w:rFonts w:hint="eastAsia" w:ascii="宋体" w:hAnsi="宋体" w:cs="宋体"/>
                <w:color w:val="000000"/>
                <w:kern w:val="0"/>
                <w:sz w:val="24"/>
              </w:rPr>
              <w:br w:type="textWrapping"/>
            </w:r>
            <w:r>
              <w:rPr>
                <w:rFonts w:hint="eastAsia" w:ascii="宋体" w:hAnsi="宋体" w:cs="宋体"/>
                <w:color w:val="000000"/>
                <w:kern w:val="0"/>
                <w:sz w:val="24"/>
              </w:rPr>
              <w:t>□无专业期刊，但有定期出版物（10分）</w:t>
            </w:r>
            <w:r>
              <w:rPr>
                <w:rFonts w:hint="eastAsia" w:ascii="宋体" w:hAnsi="宋体" w:cs="宋体"/>
                <w:color w:val="000000"/>
                <w:kern w:val="0"/>
                <w:sz w:val="24"/>
              </w:rPr>
              <w:br w:type="textWrapping"/>
            </w:r>
            <w:r>
              <w:rPr>
                <w:rFonts w:hint="eastAsia" w:ascii="宋体" w:hAnsi="宋体" w:cs="宋体"/>
                <w:color w:val="000000"/>
                <w:kern w:val="0"/>
                <w:sz w:val="24"/>
              </w:rPr>
              <w:t>□无专业期刊，且无定期出版物（0分）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专业书籍                 （15分）</w:t>
            </w:r>
          </w:p>
        </w:tc>
        <w:tc>
          <w:tcPr>
            <w:tcW w:w="5189" w:type="dxa"/>
            <w:vAlign w:val="center"/>
          </w:tcPr>
          <w:p>
            <w:pPr>
              <w:widowControl/>
              <w:jc w:val="left"/>
              <w:textAlignment w:val="center"/>
              <w:rPr>
                <w:rStyle w:val="39"/>
                <w:rFonts w:hint="default"/>
              </w:rPr>
            </w:pPr>
            <w:r>
              <w:rPr>
                <w:rFonts w:hint="eastAsia" w:ascii="宋体" w:hAnsi="宋体" w:cs="宋体"/>
                <w:color w:val="000000"/>
                <w:kern w:val="0"/>
                <w:sz w:val="24"/>
              </w:rPr>
              <w:t>□专业书籍形成系列或专业书籍获得省部级以上图书奖（15分）</w:t>
            </w:r>
            <w:r>
              <w:rPr>
                <w:rFonts w:hint="eastAsia" w:ascii="宋体" w:hAnsi="宋体" w:cs="宋体"/>
                <w:color w:val="000000"/>
                <w:kern w:val="0"/>
                <w:sz w:val="24"/>
              </w:rPr>
              <w:br w:type="textWrapping"/>
            </w:r>
            <w:r>
              <w:rPr>
                <w:rFonts w:hint="eastAsia" w:ascii="宋体" w:hAnsi="宋体" w:cs="宋体"/>
                <w:color w:val="000000"/>
                <w:kern w:val="0"/>
                <w:sz w:val="24"/>
              </w:rPr>
              <w:t>□有专业书籍且专业书籍获得地市级以上图书奖（10分）</w:t>
            </w:r>
            <w:r>
              <w:rPr>
                <w:rFonts w:hint="eastAsia" w:ascii="宋体" w:hAnsi="宋体" w:cs="宋体"/>
                <w:color w:val="000000"/>
                <w:kern w:val="0"/>
                <w:sz w:val="24"/>
              </w:rPr>
              <w:br w:type="textWrapping"/>
            </w:r>
            <w:r>
              <w:rPr>
                <w:rFonts w:hint="eastAsia" w:ascii="宋体" w:hAnsi="宋体" w:cs="宋体"/>
                <w:color w:val="000000"/>
                <w:kern w:val="0"/>
                <w:sz w:val="24"/>
              </w:rPr>
              <w:t>□有专业书籍（5分）</w:t>
            </w:r>
            <w:r>
              <w:rPr>
                <w:rFonts w:hint="eastAsia" w:ascii="宋体" w:hAnsi="宋体" w:cs="宋体"/>
                <w:color w:val="000000"/>
                <w:kern w:val="0"/>
                <w:sz w:val="24"/>
              </w:rPr>
              <w:br w:type="textWrapping"/>
            </w:r>
            <w:r>
              <w:rPr>
                <w:rFonts w:hint="eastAsia" w:ascii="宋体" w:hAnsi="宋体" w:cs="宋体"/>
                <w:color w:val="000000"/>
                <w:kern w:val="0"/>
                <w:sz w:val="24"/>
              </w:rPr>
              <w:t xml:space="preserve">□无专业书籍（0分）                                                     </w:t>
            </w:r>
            <w:r>
              <w:rPr>
                <w:rFonts w:hint="eastAsia" w:ascii="宋体" w:hAnsi="宋体" w:cs="宋体"/>
                <w:color w:val="000000"/>
                <w:kern w:val="0"/>
                <w:sz w:val="24"/>
              </w:rPr>
              <w:br w:type="textWrapping"/>
            </w:r>
            <w:r>
              <w:rPr>
                <w:rStyle w:val="39"/>
                <w:rFonts w:hint="default"/>
              </w:rPr>
              <w:t>注：专业书籍指以学术性社团名义编辑出版的书籍，而非其负责人个人出版的书籍</w:t>
            </w:r>
          </w:p>
          <w:p>
            <w:pPr>
              <w:widowControl/>
              <w:jc w:val="left"/>
              <w:textAlignment w:val="center"/>
              <w:rPr>
                <w:rStyle w:val="39"/>
                <w:rFonts w:hint="default"/>
              </w:rPr>
            </w:pP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内部资料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□定期编印的内部资料（5分）</w:t>
            </w:r>
            <w:r>
              <w:rPr>
                <w:rFonts w:hint="eastAsia" w:ascii="宋体" w:hAnsi="宋体" w:cs="宋体"/>
                <w:color w:val="000000"/>
                <w:kern w:val="0"/>
                <w:sz w:val="24"/>
              </w:rPr>
              <w:br w:type="textWrapping"/>
            </w:r>
            <w:r>
              <w:rPr>
                <w:rFonts w:hint="eastAsia" w:ascii="宋体" w:hAnsi="宋体" w:cs="宋体"/>
                <w:color w:val="000000"/>
                <w:kern w:val="0"/>
                <w:sz w:val="24"/>
              </w:rPr>
              <w:t>□有内部资料（3分）</w:t>
            </w:r>
            <w:r>
              <w:rPr>
                <w:rFonts w:hint="eastAsia" w:ascii="宋体" w:hAnsi="宋体" w:cs="宋体"/>
                <w:color w:val="000000"/>
                <w:kern w:val="0"/>
                <w:sz w:val="24"/>
              </w:rPr>
              <w:br w:type="textWrapping"/>
            </w:r>
            <w:r>
              <w:rPr>
                <w:rFonts w:hint="eastAsia" w:ascii="宋体" w:hAnsi="宋体" w:cs="宋体"/>
                <w:color w:val="000000"/>
                <w:kern w:val="0"/>
                <w:sz w:val="24"/>
              </w:rPr>
              <w:t>□无内部资料（0分）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24"/>
              </w:rPr>
            </w:pPr>
          </w:p>
          <w:p>
            <w:pPr>
              <w:widowControl/>
              <w:jc w:val="center"/>
              <w:textAlignment w:val="center"/>
              <w:rPr>
                <w:rFonts w:ascii="宋体"/>
                <w:sz w:val="24"/>
              </w:rPr>
            </w:pPr>
            <w:r>
              <w:rPr>
                <w:rFonts w:hint="eastAsia" w:ascii="宋体"/>
                <w:sz w:val="24"/>
              </w:rPr>
              <w:t>课题研究   （40分）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组织课题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□组织课题3项以上（20分）</w:t>
            </w:r>
            <w:r>
              <w:rPr>
                <w:rFonts w:hint="eastAsia" w:ascii="宋体" w:hAnsi="宋体" w:cs="宋体"/>
                <w:color w:val="000000"/>
                <w:kern w:val="0"/>
                <w:sz w:val="24"/>
              </w:rPr>
              <w:br w:type="textWrapping"/>
            </w:r>
            <w:r>
              <w:rPr>
                <w:rFonts w:hint="eastAsia" w:ascii="宋体" w:hAnsi="宋体" w:cs="宋体"/>
                <w:color w:val="000000"/>
                <w:kern w:val="0"/>
                <w:sz w:val="24"/>
              </w:rPr>
              <w:t>□组织课题2项以上（10分）</w:t>
            </w:r>
            <w:r>
              <w:rPr>
                <w:rFonts w:hint="eastAsia" w:ascii="宋体" w:hAnsi="宋体" w:cs="宋体"/>
                <w:color w:val="000000"/>
                <w:kern w:val="0"/>
                <w:sz w:val="24"/>
              </w:rPr>
              <w:br w:type="textWrapping"/>
            </w:r>
            <w:r>
              <w:rPr>
                <w:rFonts w:hint="eastAsia" w:ascii="宋体" w:hAnsi="宋体" w:cs="宋体"/>
                <w:color w:val="000000"/>
                <w:kern w:val="0"/>
                <w:sz w:val="24"/>
              </w:rPr>
              <w:t>□组织课题1项以上（5分）</w:t>
            </w:r>
            <w:r>
              <w:rPr>
                <w:rFonts w:hint="eastAsia" w:ascii="宋体" w:hAnsi="宋体" w:cs="宋体"/>
                <w:color w:val="000000"/>
                <w:kern w:val="0"/>
                <w:sz w:val="24"/>
              </w:rPr>
              <w:br w:type="textWrapping"/>
            </w:r>
            <w:r>
              <w:rPr>
                <w:rFonts w:hint="eastAsia" w:ascii="宋体" w:hAnsi="宋体" w:cs="宋体"/>
                <w:color w:val="000000"/>
                <w:kern w:val="0"/>
                <w:sz w:val="24"/>
              </w:rPr>
              <w:t>□未组织过课题（0分）</w:t>
            </w:r>
            <w:r>
              <w:rPr>
                <w:rFonts w:hint="eastAsia" w:ascii="宋体" w:hAnsi="宋体" w:cs="宋体"/>
                <w:color w:val="000000"/>
                <w:kern w:val="0"/>
                <w:sz w:val="24"/>
              </w:rPr>
              <w:br w:type="textWrapping"/>
            </w:r>
            <w:r>
              <w:rPr>
                <w:rStyle w:val="39"/>
                <w:rFonts w:hint="default"/>
              </w:rPr>
              <w:t>注：组织课题指向会员发布课题或号召会员进行申报</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承担课题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自然科学类</w:t>
            </w:r>
            <w:r>
              <w:rPr>
                <w:rStyle w:val="38"/>
                <w:rFonts w:hint="default"/>
              </w:rPr>
              <w:br w:type="textWrapping"/>
            </w:r>
            <w:r>
              <w:rPr>
                <w:rStyle w:val="38"/>
                <w:rFonts w:hint="default"/>
              </w:rPr>
              <w:t>□承担省部级课题研究项目3项及以上（20分）</w:t>
            </w:r>
            <w:r>
              <w:rPr>
                <w:rStyle w:val="38"/>
                <w:rFonts w:hint="default"/>
              </w:rPr>
              <w:br w:type="textWrapping"/>
            </w:r>
            <w:r>
              <w:rPr>
                <w:rStyle w:val="38"/>
                <w:rFonts w:hint="default"/>
              </w:rPr>
              <w:t>□承担省部级课题研究项目2项及以上（10分）</w:t>
            </w:r>
            <w:r>
              <w:rPr>
                <w:rStyle w:val="38"/>
                <w:rFonts w:hint="default"/>
              </w:rPr>
              <w:br w:type="textWrapping"/>
            </w:r>
            <w:r>
              <w:rPr>
                <w:rStyle w:val="38"/>
                <w:rFonts w:hint="default"/>
              </w:rPr>
              <w:t>□承担省部级课题研究项目1项（5分）</w:t>
            </w:r>
            <w:r>
              <w:rPr>
                <w:rStyle w:val="38"/>
                <w:rFonts w:hint="default"/>
              </w:rPr>
              <w:br w:type="textWrapping"/>
            </w:r>
            <w:r>
              <w:rPr>
                <w:rStyle w:val="38"/>
                <w:rFonts w:hint="default"/>
              </w:rPr>
              <w:t>□未承担过省部级课题研究项目（0分）</w:t>
            </w:r>
            <w:r>
              <w:rPr>
                <w:rStyle w:val="38"/>
                <w:rFonts w:hint="default"/>
              </w:rPr>
              <w:br w:type="textWrapping"/>
            </w:r>
            <w:r>
              <w:rPr>
                <w:rStyle w:val="39"/>
                <w:rFonts w:hint="default"/>
              </w:rPr>
              <w:t>人文社会科学类</w:t>
            </w:r>
            <w:r>
              <w:rPr>
                <w:rStyle w:val="38"/>
                <w:rFonts w:hint="default"/>
              </w:rPr>
              <w:br w:type="textWrapping"/>
            </w:r>
            <w:r>
              <w:rPr>
                <w:rStyle w:val="38"/>
                <w:rFonts w:hint="default"/>
              </w:rPr>
              <w:t>□承担省部级课题研究项目2项及以上（20分）</w:t>
            </w:r>
            <w:r>
              <w:rPr>
                <w:rStyle w:val="38"/>
                <w:rFonts w:hint="default"/>
              </w:rPr>
              <w:br w:type="textWrapping"/>
            </w:r>
            <w:r>
              <w:rPr>
                <w:rStyle w:val="38"/>
                <w:rFonts w:hint="default"/>
              </w:rPr>
              <w:t>□承担过省部级课题研究项目（10分）</w:t>
            </w:r>
            <w:r>
              <w:rPr>
                <w:rStyle w:val="38"/>
                <w:rFonts w:hint="default"/>
              </w:rPr>
              <w:br w:type="textWrapping"/>
            </w:r>
            <w:r>
              <w:rPr>
                <w:rStyle w:val="38"/>
                <w:rFonts w:hint="default"/>
              </w:rPr>
              <w:t>□未承担过省部级课题研究项目（0分）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规范行为（40分）</w:t>
            </w: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诚信自律 （40分）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学术自律制度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□制订详细、规范的学术自律制度（10分）</w:t>
            </w:r>
            <w:r>
              <w:rPr>
                <w:rFonts w:hint="eastAsia" w:ascii="宋体" w:hAnsi="宋体" w:cs="宋体"/>
                <w:color w:val="000000"/>
                <w:kern w:val="0"/>
                <w:sz w:val="24"/>
              </w:rPr>
              <w:br w:type="textWrapping"/>
            </w:r>
            <w:r>
              <w:rPr>
                <w:rFonts w:hint="eastAsia" w:ascii="宋体" w:hAnsi="宋体" w:cs="宋体"/>
                <w:color w:val="000000"/>
                <w:kern w:val="0"/>
                <w:sz w:val="24"/>
              </w:rPr>
              <w:t>□制订简单的学术自律制度（5分）</w:t>
            </w:r>
            <w:r>
              <w:rPr>
                <w:rFonts w:hint="eastAsia" w:ascii="宋体" w:hAnsi="宋体" w:cs="宋体"/>
                <w:color w:val="000000"/>
                <w:kern w:val="0"/>
                <w:sz w:val="24"/>
              </w:rPr>
              <w:br w:type="textWrapping"/>
            </w:r>
            <w:r>
              <w:rPr>
                <w:rFonts w:hint="eastAsia" w:ascii="宋体" w:hAnsi="宋体" w:cs="宋体"/>
                <w:color w:val="000000"/>
                <w:kern w:val="0"/>
                <w:sz w:val="24"/>
              </w:rPr>
              <w:t>□未制订学术自律制度（0分）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自律制度  </w:t>
            </w:r>
            <w:r>
              <w:rPr>
                <w:rFonts w:hint="eastAsia" w:ascii="宋体" w:hAnsi="宋体" w:cs="宋体"/>
                <w:color w:val="000000"/>
                <w:kern w:val="0"/>
                <w:sz w:val="24"/>
              </w:rPr>
              <w:br w:type="textWrapping"/>
            </w:r>
            <w:r>
              <w:rPr>
                <w:rFonts w:hint="eastAsia" w:ascii="宋体" w:hAnsi="宋体" w:cs="宋体"/>
                <w:color w:val="000000"/>
                <w:kern w:val="0"/>
                <w:sz w:val="24"/>
              </w:rPr>
              <w:t>实施</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□按照学术自律制度切实开展公开，并成效显著（20分）</w:t>
            </w:r>
            <w:r>
              <w:rPr>
                <w:rFonts w:hint="eastAsia" w:ascii="宋体" w:hAnsi="宋体" w:cs="宋体"/>
                <w:color w:val="000000"/>
                <w:kern w:val="0"/>
                <w:sz w:val="24"/>
              </w:rPr>
              <w:br w:type="textWrapping"/>
            </w:r>
            <w:r>
              <w:rPr>
                <w:rFonts w:hint="eastAsia" w:ascii="宋体" w:hAnsi="宋体" w:cs="宋体"/>
                <w:color w:val="000000"/>
                <w:kern w:val="0"/>
                <w:sz w:val="24"/>
              </w:rPr>
              <w:t>□按照学术自律制度开展公开，并成效一般（10分）</w:t>
            </w:r>
            <w:r>
              <w:rPr>
                <w:rFonts w:hint="eastAsia" w:ascii="宋体" w:hAnsi="宋体" w:cs="宋体"/>
                <w:color w:val="000000"/>
                <w:kern w:val="0"/>
                <w:sz w:val="24"/>
              </w:rPr>
              <w:br w:type="textWrapping"/>
            </w:r>
            <w:r>
              <w:rPr>
                <w:rFonts w:hint="eastAsia" w:ascii="宋体" w:hAnsi="宋体" w:cs="宋体"/>
                <w:color w:val="000000"/>
                <w:kern w:val="0"/>
                <w:sz w:val="24"/>
              </w:rPr>
              <w:t>□未制订学术自律制度（0分）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公开处罚信息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□定期收集、公开本领域的处罚信息（10分）</w:t>
            </w:r>
            <w:r>
              <w:rPr>
                <w:rFonts w:hint="eastAsia" w:ascii="宋体" w:hAnsi="宋体" w:cs="宋体"/>
                <w:color w:val="000000"/>
                <w:kern w:val="0"/>
                <w:sz w:val="24"/>
              </w:rPr>
              <w:br w:type="textWrapping"/>
            </w:r>
            <w:r>
              <w:rPr>
                <w:rFonts w:hint="eastAsia" w:ascii="宋体" w:hAnsi="宋体" w:cs="宋体"/>
                <w:color w:val="000000"/>
                <w:kern w:val="0"/>
                <w:sz w:val="24"/>
              </w:rPr>
              <w:t>□有公开过本领域的处罚信息（5分）</w:t>
            </w:r>
            <w:r>
              <w:rPr>
                <w:rFonts w:hint="eastAsia" w:ascii="宋体" w:hAnsi="宋体" w:cs="宋体"/>
                <w:color w:val="000000"/>
                <w:kern w:val="0"/>
                <w:sz w:val="24"/>
              </w:rPr>
              <w:br w:type="textWrapping"/>
            </w:r>
            <w:r>
              <w:rPr>
                <w:rFonts w:hint="eastAsia" w:ascii="宋体" w:hAnsi="宋体" w:cs="宋体"/>
                <w:color w:val="000000"/>
                <w:kern w:val="0"/>
                <w:sz w:val="24"/>
              </w:rPr>
              <w:t>□未公开过本领域的处罚信息（0分）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 xml:space="preserve">□完成本指标未涵盖的其他事业，业绩较突出(10分)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49"/>
                <w:rFonts w:hint="default"/>
              </w:rPr>
              <w:t>注：由评估专家利用自身专业优势评定。</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社会评价（80分）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内外部评价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内外部评价 </w:t>
            </w:r>
          </w:p>
          <w:p>
            <w:pPr>
              <w:widowControl/>
              <w:jc w:val="center"/>
              <w:textAlignment w:val="center"/>
              <w:rPr>
                <w:rFonts w:ascii="宋体"/>
                <w:sz w:val="18"/>
              </w:rPr>
            </w:pPr>
            <w:r>
              <w:rPr>
                <w:rFonts w:hint="eastAsia" w:ascii="宋体" w:hAnsi="宋体" w:cs="宋体"/>
                <w:color w:val="000000"/>
                <w:kern w:val="0"/>
                <w:sz w:val="24"/>
              </w:rPr>
              <w:t>（80分）</w:t>
            </w: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登记管理机关评价   </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□获得政府有关部门表彰一次2分，满分10分                                                                           </w:t>
            </w:r>
            <w:r>
              <w:rPr>
                <w:rStyle w:val="39"/>
                <w:rFonts w:hint="default"/>
              </w:rPr>
              <w:t>注：表彰需出示正式文件或证书。</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业务主管单位评价   </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Style w:val="39"/>
                <w:rFonts w:hint="default"/>
              </w:rPr>
              <w:t>注：若章程中无业务主管单位不扣分。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pPr>
              <w:pStyle w:val="42"/>
              <w:rPr>
                <w:szCs w:val="18"/>
              </w:rPr>
            </w:pPr>
          </w:p>
        </w:tc>
        <w:tc>
          <w:tcPr>
            <w:tcW w:w="1256" w:type="dxa"/>
          </w:tcPr>
          <w:p>
            <w:pPr>
              <w:pStyle w:val="42"/>
              <w:rPr>
                <w:szCs w:val="18"/>
              </w:rPr>
            </w:pPr>
          </w:p>
        </w:tc>
        <w:tc>
          <w:tcPr>
            <w:tcW w:w="1298" w:type="dxa"/>
          </w:tcPr>
          <w:p>
            <w:pPr>
              <w:pStyle w:val="42"/>
              <w:rPr>
                <w:szCs w:val="18"/>
              </w:rPr>
            </w:pPr>
          </w:p>
        </w:tc>
      </w:tr>
    </w:tbl>
    <w:p>
      <w:pPr>
        <w:rPr>
          <w:rFonts w:ascii="方正小标宋简体" w:eastAsia="方正小标宋简体"/>
          <w:sz w:val="44"/>
          <w:szCs w:val="44"/>
        </w:rPr>
        <w:sectPr>
          <w:footerReference r:id="rId3" w:type="default"/>
          <w:pgSz w:w="16838" w:h="11906" w:orient="landscape"/>
          <w:pgMar w:top="1417" w:right="567" w:bottom="1134" w:left="1134"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838F1"/>
    <w:rsid w:val="00046C38"/>
    <w:rsid w:val="00071205"/>
    <w:rsid w:val="00084C40"/>
    <w:rsid w:val="000A244E"/>
    <w:rsid w:val="00156164"/>
    <w:rsid w:val="001B5A1D"/>
    <w:rsid w:val="002339C8"/>
    <w:rsid w:val="0024502A"/>
    <w:rsid w:val="002A1B31"/>
    <w:rsid w:val="002B7C12"/>
    <w:rsid w:val="00303104"/>
    <w:rsid w:val="0034008C"/>
    <w:rsid w:val="0035076F"/>
    <w:rsid w:val="003D16BD"/>
    <w:rsid w:val="00416757"/>
    <w:rsid w:val="004320CF"/>
    <w:rsid w:val="00470A9D"/>
    <w:rsid w:val="004B0BA0"/>
    <w:rsid w:val="004B7033"/>
    <w:rsid w:val="004E77F5"/>
    <w:rsid w:val="00511869"/>
    <w:rsid w:val="005167DF"/>
    <w:rsid w:val="00524A76"/>
    <w:rsid w:val="005639F1"/>
    <w:rsid w:val="0064062A"/>
    <w:rsid w:val="00652B3F"/>
    <w:rsid w:val="00670F66"/>
    <w:rsid w:val="006838F1"/>
    <w:rsid w:val="006F4158"/>
    <w:rsid w:val="00721B97"/>
    <w:rsid w:val="007240C4"/>
    <w:rsid w:val="0073168B"/>
    <w:rsid w:val="00774C5F"/>
    <w:rsid w:val="00796088"/>
    <w:rsid w:val="007E1C96"/>
    <w:rsid w:val="00812407"/>
    <w:rsid w:val="00856991"/>
    <w:rsid w:val="008650AC"/>
    <w:rsid w:val="008F0BB9"/>
    <w:rsid w:val="009C5D4D"/>
    <w:rsid w:val="009C73C8"/>
    <w:rsid w:val="00A437AF"/>
    <w:rsid w:val="00A45331"/>
    <w:rsid w:val="00A52769"/>
    <w:rsid w:val="00A87E2E"/>
    <w:rsid w:val="00A976FC"/>
    <w:rsid w:val="00AB1CBC"/>
    <w:rsid w:val="00AC24E7"/>
    <w:rsid w:val="00AD408F"/>
    <w:rsid w:val="00B43099"/>
    <w:rsid w:val="00B53088"/>
    <w:rsid w:val="00BD20BA"/>
    <w:rsid w:val="00BD313D"/>
    <w:rsid w:val="00BF2D16"/>
    <w:rsid w:val="00C31078"/>
    <w:rsid w:val="00C523D1"/>
    <w:rsid w:val="00C56B2C"/>
    <w:rsid w:val="00C96E30"/>
    <w:rsid w:val="00D267E8"/>
    <w:rsid w:val="00D52797"/>
    <w:rsid w:val="00D90452"/>
    <w:rsid w:val="00E965F4"/>
    <w:rsid w:val="00EC7E99"/>
    <w:rsid w:val="00ED386A"/>
    <w:rsid w:val="00F20139"/>
    <w:rsid w:val="00F22C47"/>
    <w:rsid w:val="00F22E1E"/>
    <w:rsid w:val="00FA2963"/>
    <w:rsid w:val="00FE5ED8"/>
    <w:rsid w:val="09C4641E"/>
    <w:rsid w:val="0EE349BC"/>
    <w:rsid w:val="224666C4"/>
    <w:rsid w:val="230B0A18"/>
    <w:rsid w:val="247F0C1F"/>
    <w:rsid w:val="313034D6"/>
    <w:rsid w:val="34DB2E60"/>
    <w:rsid w:val="35187F45"/>
    <w:rsid w:val="3C972E62"/>
    <w:rsid w:val="426C5427"/>
    <w:rsid w:val="587742A0"/>
    <w:rsid w:val="63BD2BEA"/>
    <w:rsid w:val="63DE3102"/>
    <w:rsid w:val="642B28D2"/>
    <w:rsid w:val="64C23D99"/>
    <w:rsid w:val="6BEA058D"/>
    <w:rsid w:val="78C11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character" w:default="1" w:styleId="31">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7"/>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60"/>
    <w:semiHidden/>
    <w:qFormat/>
    <w:uiPriority w:val="0"/>
    <w:pPr>
      <w:snapToGrid w:val="0"/>
      <w:jc w:val="left"/>
    </w:pPr>
  </w:style>
  <w:style w:type="paragraph" w:styleId="15">
    <w:name w:val="Balloon Text"/>
    <w:basedOn w:val="1"/>
    <w:link w:val="153"/>
    <w:semiHidden/>
    <w:unhideWhenUsed/>
    <w:qFormat/>
    <w:uiPriority w:val="99"/>
    <w:rPr>
      <w:sz w:val="18"/>
      <w:szCs w:val="18"/>
    </w:rPr>
  </w:style>
  <w:style w:type="paragraph" w:styleId="16">
    <w:name w:val="footer"/>
    <w:basedOn w:val="1"/>
    <w:link w:val="59"/>
    <w:qFormat/>
    <w:uiPriority w:val="0"/>
    <w:pPr>
      <w:snapToGrid w:val="0"/>
      <w:ind w:right="210" w:rightChars="100"/>
      <w:jc w:val="right"/>
    </w:pPr>
    <w:rPr>
      <w:sz w:val="18"/>
      <w:szCs w:val="18"/>
    </w:rPr>
  </w:style>
  <w:style w:type="paragraph" w:styleId="17">
    <w:name w:val="header"/>
    <w:basedOn w:val="1"/>
    <w:link w:val="56"/>
    <w:qFormat/>
    <w:uiPriority w:val="0"/>
    <w:pPr>
      <w:snapToGrid w:val="0"/>
      <w:jc w:val="left"/>
    </w:pPr>
    <w:rPr>
      <w:sz w:val="18"/>
      <w:szCs w:val="18"/>
    </w:rPr>
  </w:style>
  <w:style w:type="paragraph" w:styleId="18">
    <w:name w:val="toc 1"/>
    <w:basedOn w:val="1"/>
    <w:next w:val="1"/>
    <w:semiHidden/>
    <w:qFormat/>
    <w:uiPriority w:val="0"/>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1"/>
    <w:unhideWhenUsed/>
    <w:qFormat/>
    <w:uiPriority w:val="0"/>
  </w:style>
  <w:style w:type="paragraph" w:styleId="22">
    <w:name w:val="footnote text"/>
    <w:basedOn w:val="1"/>
    <w:link w:val="58"/>
    <w:qFormat/>
    <w:uiPriority w:val="0"/>
    <w:pPr>
      <w:tabs>
        <w:tab w:val="left" w:pos="0"/>
      </w:tabs>
      <w:snapToGrid w:val="0"/>
      <w:ind w:left="720" w:hanging="357"/>
      <w:jc w:val="left"/>
    </w:pPr>
    <w:rPr>
      <w:rFonts w:ascii="宋体"/>
      <w:sz w:val="18"/>
      <w:szCs w:val="18"/>
    </w:rPr>
  </w:style>
  <w:style w:type="paragraph" w:styleId="23">
    <w:name w:val="toc 6"/>
    <w:basedOn w:val="1"/>
    <w:next w:val="1"/>
    <w:semiHidden/>
    <w:qFormat/>
    <w:uiPriority w:val="0"/>
    <w:pPr>
      <w:tabs>
        <w:tab w:val="right" w:leader="dot" w:pos="9241"/>
      </w:tabs>
      <w:ind w:firstLine="403"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1"/>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2">
    <w:name w:val="endnote reference"/>
    <w:basedOn w:val="31"/>
    <w:semiHidden/>
    <w:qFormat/>
    <w:uiPriority w:val="0"/>
    <w:rPr>
      <w:vertAlign w:val="superscript"/>
    </w:rPr>
  </w:style>
  <w:style w:type="character" w:styleId="33">
    <w:name w:val="page number"/>
    <w:basedOn w:val="31"/>
    <w:qFormat/>
    <w:uiPriority w:val="0"/>
    <w:rPr>
      <w:rFonts w:ascii="Times New Roman" w:hAnsi="Times New Roman" w:eastAsia="宋体"/>
      <w:sz w:val="18"/>
    </w:rPr>
  </w:style>
  <w:style w:type="character" w:styleId="34">
    <w:name w:val="FollowedHyperlink"/>
    <w:basedOn w:val="31"/>
    <w:qFormat/>
    <w:uiPriority w:val="0"/>
    <w:rPr>
      <w:color w:val="800080"/>
      <w:u w:val="single"/>
    </w:rPr>
  </w:style>
  <w:style w:type="character" w:styleId="35">
    <w:name w:val="Hyperlink"/>
    <w:basedOn w:val="31"/>
    <w:qFormat/>
    <w:uiPriority w:val="0"/>
    <w:rPr>
      <w:color w:val="0000FF"/>
      <w:spacing w:val="0"/>
      <w:w w:val="100"/>
      <w:szCs w:val="21"/>
      <w:u w:val="single"/>
      <w:lang w:val="en-US" w:eastAsia="zh-CN"/>
    </w:rPr>
  </w:style>
  <w:style w:type="character" w:styleId="36">
    <w:name w:val="footnote reference"/>
    <w:basedOn w:val="31"/>
    <w:semiHidden/>
    <w:qFormat/>
    <w:uiPriority w:val="0"/>
    <w:rPr>
      <w:vertAlign w:val="superscript"/>
    </w:rPr>
  </w:style>
  <w:style w:type="character" w:customStyle="1" w:styleId="37">
    <w:name w:val="标题 1 Char"/>
    <w:basedOn w:val="31"/>
    <w:link w:val="2"/>
    <w:uiPriority w:val="0"/>
    <w:rPr>
      <w:rFonts w:ascii="Times New Roman" w:hAnsi="Times New Roman" w:eastAsia="宋体" w:cs="Times New Roman"/>
      <w:b/>
      <w:bCs/>
      <w:kern w:val="44"/>
      <w:sz w:val="44"/>
      <w:szCs w:val="44"/>
    </w:rPr>
  </w:style>
  <w:style w:type="character" w:customStyle="1" w:styleId="38">
    <w:name w:val="font51"/>
    <w:basedOn w:val="31"/>
    <w:qFormat/>
    <w:uiPriority w:val="0"/>
    <w:rPr>
      <w:rFonts w:hint="eastAsia" w:ascii="宋体" w:hAnsi="宋体" w:eastAsia="宋体" w:cs="宋体"/>
      <w:color w:val="000000"/>
      <w:sz w:val="24"/>
      <w:szCs w:val="24"/>
      <w:u w:val="none"/>
    </w:rPr>
  </w:style>
  <w:style w:type="character" w:customStyle="1" w:styleId="39">
    <w:name w:val="font31"/>
    <w:basedOn w:val="31"/>
    <w:qFormat/>
    <w:uiPriority w:val="0"/>
    <w:rPr>
      <w:rFonts w:hint="eastAsia" w:ascii="宋体" w:hAnsi="宋体" w:eastAsia="宋体" w:cs="宋体"/>
      <w:b/>
      <w:color w:val="000000"/>
      <w:sz w:val="24"/>
      <w:szCs w:val="24"/>
      <w:u w:val="none"/>
    </w:rPr>
  </w:style>
  <w:style w:type="character" w:customStyle="1" w:styleId="40">
    <w:name w:val="首示例 Char"/>
    <w:basedOn w:val="31"/>
    <w:link w:val="41"/>
    <w:qFormat/>
    <w:uiPriority w:val="0"/>
    <w:rPr>
      <w:rFonts w:ascii="宋体" w:hAnsi="宋体"/>
      <w:sz w:val="18"/>
      <w:szCs w:val="18"/>
    </w:rPr>
  </w:style>
  <w:style w:type="paragraph" w:customStyle="1" w:styleId="41">
    <w:name w:val="首示例"/>
    <w:next w:val="42"/>
    <w:link w:val="40"/>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2">
    <w:name w:val="段"/>
    <w:link w:val="47"/>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
    <w:name w:val="font01"/>
    <w:basedOn w:val="31"/>
    <w:qFormat/>
    <w:uiPriority w:val="0"/>
    <w:rPr>
      <w:rFonts w:hint="eastAsia" w:ascii="宋体" w:hAnsi="宋体" w:eastAsia="宋体" w:cs="宋体"/>
      <w:color w:val="000000"/>
      <w:sz w:val="24"/>
      <w:szCs w:val="24"/>
      <w:u w:val="none"/>
    </w:rPr>
  </w:style>
  <w:style w:type="character" w:customStyle="1" w:styleId="44">
    <w:name w:val="font91"/>
    <w:basedOn w:val="31"/>
    <w:qFormat/>
    <w:uiPriority w:val="0"/>
    <w:rPr>
      <w:rFonts w:hint="eastAsia" w:ascii="宋体" w:hAnsi="宋体" w:eastAsia="宋体" w:cs="宋体"/>
      <w:color w:val="000000"/>
      <w:sz w:val="24"/>
      <w:szCs w:val="24"/>
      <w:u w:val="none"/>
    </w:rPr>
  </w:style>
  <w:style w:type="character" w:customStyle="1" w:styleId="45">
    <w:name w:val="font21"/>
    <w:basedOn w:val="31"/>
    <w:qFormat/>
    <w:uiPriority w:val="0"/>
    <w:rPr>
      <w:rFonts w:hint="eastAsia" w:ascii="宋体" w:hAnsi="宋体" w:eastAsia="宋体" w:cs="宋体"/>
      <w:b/>
      <w:color w:val="000000"/>
      <w:sz w:val="24"/>
      <w:szCs w:val="24"/>
      <w:u w:val="none"/>
    </w:rPr>
  </w:style>
  <w:style w:type="character" w:customStyle="1" w:styleId="46">
    <w:name w:val="附录公式 Char"/>
    <w:basedOn w:val="47"/>
    <w:link w:val="48"/>
    <w:qFormat/>
    <w:uiPriority w:val="0"/>
  </w:style>
  <w:style w:type="character" w:customStyle="1" w:styleId="47">
    <w:name w:val="段 Char"/>
    <w:basedOn w:val="31"/>
    <w:link w:val="42"/>
    <w:qFormat/>
    <w:uiPriority w:val="0"/>
    <w:rPr>
      <w:rFonts w:ascii="宋体"/>
    </w:rPr>
  </w:style>
  <w:style w:type="paragraph" w:customStyle="1" w:styleId="48">
    <w:name w:val="附录公式"/>
    <w:basedOn w:val="42"/>
    <w:next w:val="42"/>
    <w:link w:val="46"/>
    <w:qFormat/>
    <w:uiPriority w:val="0"/>
  </w:style>
  <w:style w:type="character" w:customStyle="1" w:styleId="49">
    <w:name w:val="font41"/>
    <w:basedOn w:val="31"/>
    <w:qFormat/>
    <w:uiPriority w:val="0"/>
    <w:rPr>
      <w:rFonts w:hint="eastAsia" w:ascii="宋体" w:hAnsi="宋体" w:eastAsia="宋体" w:cs="宋体"/>
      <w:b/>
      <w:color w:val="000000"/>
      <w:sz w:val="24"/>
      <w:szCs w:val="24"/>
      <w:u w:val="none"/>
    </w:rPr>
  </w:style>
  <w:style w:type="character" w:customStyle="1" w:styleId="50">
    <w:name w:val="发布"/>
    <w:basedOn w:val="31"/>
    <w:qFormat/>
    <w:uiPriority w:val="0"/>
    <w:rPr>
      <w:rFonts w:ascii="黑体" w:eastAsia="黑体"/>
      <w:spacing w:val="85"/>
      <w:w w:val="100"/>
      <w:position w:val="3"/>
      <w:sz w:val="28"/>
      <w:szCs w:val="28"/>
    </w:rPr>
  </w:style>
  <w:style w:type="character" w:customStyle="1" w:styleId="51">
    <w:name w:val="font81"/>
    <w:basedOn w:val="31"/>
    <w:qFormat/>
    <w:uiPriority w:val="0"/>
    <w:rPr>
      <w:rFonts w:hint="eastAsia" w:ascii="宋体" w:hAnsi="宋体" w:eastAsia="宋体" w:cs="宋体"/>
      <w:b/>
      <w:color w:val="000000"/>
      <w:sz w:val="24"/>
      <w:szCs w:val="24"/>
      <w:u w:val="none"/>
    </w:rPr>
  </w:style>
  <w:style w:type="character" w:customStyle="1" w:styleId="52">
    <w:name w:val="font61"/>
    <w:basedOn w:val="31"/>
    <w:qFormat/>
    <w:uiPriority w:val="0"/>
    <w:rPr>
      <w:rFonts w:hint="eastAsia" w:ascii="宋体" w:hAnsi="宋体" w:eastAsia="宋体" w:cs="宋体"/>
      <w:b/>
      <w:color w:val="000000"/>
      <w:sz w:val="24"/>
      <w:szCs w:val="24"/>
      <w:u w:val="none"/>
    </w:rPr>
  </w:style>
  <w:style w:type="character" w:customStyle="1" w:styleId="53">
    <w:name w:val="font71"/>
    <w:basedOn w:val="31"/>
    <w:qFormat/>
    <w:uiPriority w:val="0"/>
    <w:rPr>
      <w:rFonts w:hint="eastAsia" w:ascii="宋体" w:hAnsi="宋体" w:eastAsia="宋体" w:cs="宋体"/>
      <w:b/>
      <w:color w:val="000000"/>
      <w:sz w:val="24"/>
      <w:szCs w:val="24"/>
      <w:u w:val="none"/>
    </w:rPr>
  </w:style>
  <w:style w:type="character" w:customStyle="1" w:styleId="54">
    <w:name w:val="font101"/>
    <w:basedOn w:val="31"/>
    <w:qFormat/>
    <w:uiPriority w:val="0"/>
    <w:rPr>
      <w:rFonts w:hint="eastAsia" w:ascii="宋体" w:hAnsi="宋体" w:eastAsia="宋体" w:cs="宋体"/>
      <w:color w:val="000000"/>
      <w:sz w:val="24"/>
      <w:szCs w:val="24"/>
      <w:u w:val="none"/>
    </w:rPr>
  </w:style>
  <w:style w:type="character" w:customStyle="1" w:styleId="55">
    <w:name w:val="font11"/>
    <w:basedOn w:val="31"/>
    <w:qFormat/>
    <w:uiPriority w:val="0"/>
    <w:rPr>
      <w:rFonts w:hint="eastAsia" w:ascii="宋体" w:hAnsi="宋体" w:eastAsia="宋体" w:cs="宋体"/>
      <w:b/>
      <w:color w:val="000000"/>
      <w:sz w:val="24"/>
      <w:szCs w:val="24"/>
      <w:u w:val="none"/>
    </w:rPr>
  </w:style>
  <w:style w:type="character" w:customStyle="1" w:styleId="56">
    <w:name w:val="页眉 Char"/>
    <w:basedOn w:val="31"/>
    <w:link w:val="17"/>
    <w:qFormat/>
    <w:uiPriority w:val="0"/>
    <w:rPr>
      <w:rFonts w:ascii="Times New Roman" w:hAnsi="Times New Roman" w:eastAsia="宋体" w:cs="Times New Roman"/>
      <w:sz w:val="18"/>
      <w:szCs w:val="18"/>
    </w:rPr>
  </w:style>
  <w:style w:type="character" w:customStyle="1" w:styleId="57">
    <w:name w:val="文档结构图 Char"/>
    <w:basedOn w:val="31"/>
    <w:link w:val="7"/>
    <w:semiHidden/>
    <w:qFormat/>
    <w:uiPriority w:val="0"/>
    <w:rPr>
      <w:rFonts w:ascii="Times New Roman" w:hAnsi="Times New Roman" w:eastAsia="宋体" w:cs="Times New Roman"/>
      <w:szCs w:val="24"/>
      <w:shd w:val="clear" w:color="auto" w:fill="000080"/>
    </w:rPr>
  </w:style>
  <w:style w:type="character" w:customStyle="1" w:styleId="58">
    <w:name w:val="脚注文本 Char"/>
    <w:basedOn w:val="31"/>
    <w:link w:val="22"/>
    <w:qFormat/>
    <w:uiPriority w:val="0"/>
    <w:rPr>
      <w:rFonts w:ascii="宋体" w:hAnsi="Times New Roman" w:eastAsia="宋体" w:cs="Times New Roman"/>
      <w:sz w:val="18"/>
      <w:szCs w:val="18"/>
    </w:rPr>
  </w:style>
  <w:style w:type="character" w:customStyle="1" w:styleId="59">
    <w:name w:val="页脚 Char"/>
    <w:basedOn w:val="31"/>
    <w:link w:val="16"/>
    <w:qFormat/>
    <w:uiPriority w:val="0"/>
    <w:rPr>
      <w:rFonts w:ascii="Times New Roman" w:hAnsi="Times New Roman" w:eastAsia="宋体" w:cs="Times New Roman"/>
      <w:sz w:val="18"/>
      <w:szCs w:val="18"/>
    </w:rPr>
  </w:style>
  <w:style w:type="character" w:customStyle="1" w:styleId="60">
    <w:name w:val="尾注文本 Char"/>
    <w:basedOn w:val="31"/>
    <w:link w:val="14"/>
    <w:semiHidden/>
    <w:qFormat/>
    <w:uiPriority w:val="0"/>
    <w:rPr>
      <w:rFonts w:ascii="Times New Roman" w:hAnsi="Times New Roman" w:eastAsia="宋体" w:cs="Times New Roman"/>
      <w:szCs w:val="24"/>
    </w:rPr>
  </w:style>
  <w:style w:type="paragraph" w:customStyle="1" w:styleId="61">
    <w:name w:val="附录三级无"/>
    <w:basedOn w:val="62"/>
    <w:uiPriority w:val="0"/>
    <w:pPr>
      <w:tabs>
        <w:tab w:val="left" w:pos="360"/>
      </w:tabs>
      <w:spacing w:beforeLines="0" w:afterLines="0"/>
    </w:pPr>
    <w:rPr>
      <w:rFonts w:ascii="宋体" w:eastAsia="宋体"/>
      <w:szCs w:val="21"/>
    </w:rPr>
  </w:style>
  <w:style w:type="paragraph" w:customStyle="1" w:styleId="62">
    <w:name w:val="附录三级条标题"/>
    <w:basedOn w:val="63"/>
    <w:next w:val="42"/>
    <w:uiPriority w:val="0"/>
    <w:pPr>
      <w:tabs>
        <w:tab w:val="left" w:pos="360"/>
      </w:tabs>
      <w:outlineLvl w:val="4"/>
    </w:pPr>
  </w:style>
  <w:style w:type="paragraph" w:customStyle="1" w:styleId="63">
    <w:name w:val="附录二级条标题"/>
    <w:basedOn w:val="1"/>
    <w:next w:val="42"/>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65">
    <w:name w:val="附录四级条标题"/>
    <w:basedOn w:val="62"/>
    <w:next w:val="42"/>
    <w:uiPriority w:val="0"/>
    <w:pPr>
      <w:outlineLvl w:val="5"/>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示例后文字"/>
    <w:basedOn w:val="42"/>
    <w:next w:val="42"/>
    <w:qFormat/>
    <w:uiPriority w:val="0"/>
    <w:pPr>
      <w:ind w:firstLine="360"/>
    </w:pPr>
    <w:rPr>
      <w:sz w:val="18"/>
    </w:rPr>
  </w:style>
  <w:style w:type="paragraph" w:customStyle="1" w:styleId="68">
    <w:name w:val="附录一级无"/>
    <w:basedOn w:val="69"/>
    <w:uiPriority w:val="0"/>
    <w:pPr>
      <w:tabs>
        <w:tab w:val="left" w:pos="360"/>
      </w:tabs>
      <w:spacing w:beforeLines="0" w:afterLines="0"/>
    </w:pPr>
    <w:rPr>
      <w:rFonts w:ascii="宋体" w:eastAsia="宋体"/>
      <w:szCs w:val="21"/>
    </w:rPr>
  </w:style>
  <w:style w:type="paragraph" w:customStyle="1" w:styleId="69">
    <w:name w:val="附录一级条标题"/>
    <w:basedOn w:val="70"/>
    <w:next w:val="42"/>
    <w:uiPriority w:val="0"/>
    <w:pPr>
      <w:tabs>
        <w:tab w:val="left" w:pos="360"/>
      </w:tabs>
      <w:autoSpaceDN w:val="0"/>
      <w:spacing w:beforeLines="50" w:afterLines="50"/>
      <w:outlineLvl w:val="2"/>
    </w:pPr>
  </w:style>
  <w:style w:type="paragraph" w:customStyle="1" w:styleId="70">
    <w:name w:val="附录章标题"/>
    <w:next w:val="42"/>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实施日期"/>
    <w:basedOn w:val="72"/>
    <w:uiPriority w:val="0"/>
    <w:pPr>
      <w:framePr w:vAnchor="page" w:hAnchor="text"/>
      <w:jc w:val="right"/>
    </w:pPr>
  </w:style>
  <w:style w:type="paragraph" w:customStyle="1" w:styleId="72">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3"/>
    <w:uiPriority w:val="0"/>
    <w:pPr>
      <w:tabs>
        <w:tab w:val="clear" w:pos="360"/>
      </w:tabs>
      <w:spacing w:beforeLines="0" w:afterLines="0"/>
    </w:pPr>
    <w:rPr>
      <w:rFonts w:ascii="宋体" w:eastAsia="宋体"/>
      <w:szCs w:val="21"/>
    </w:rPr>
  </w:style>
  <w:style w:type="paragraph" w:customStyle="1" w:styleId="74">
    <w:name w:val="二级无"/>
    <w:basedOn w:val="75"/>
    <w:uiPriority w:val="0"/>
    <w:pPr>
      <w:spacing w:beforeLines="0" w:afterLines="0"/>
    </w:pPr>
    <w:rPr>
      <w:rFonts w:ascii="宋体" w:eastAsia="宋体"/>
    </w:rPr>
  </w:style>
  <w:style w:type="paragraph" w:customStyle="1" w:styleId="75">
    <w:name w:val="二级条标题"/>
    <w:basedOn w:val="76"/>
    <w:next w:val="42"/>
    <w:uiPriority w:val="0"/>
    <w:pPr>
      <w:spacing w:before="50" w:after="50"/>
      <w:outlineLvl w:val="3"/>
    </w:pPr>
  </w:style>
  <w:style w:type="paragraph" w:customStyle="1" w:styleId="76">
    <w:name w:val="一级条标题"/>
    <w:next w:val="42"/>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7">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章标题"/>
    <w:next w:val="42"/>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9">
    <w:name w:val="附录图标号"/>
    <w:basedOn w:val="1"/>
    <w:uiPriority w:val="0"/>
    <w:pPr>
      <w:keepNext/>
      <w:pageBreakBefore/>
      <w:widowControl/>
      <w:spacing w:line="14" w:lineRule="exact"/>
      <w:ind w:firstLine="363"/>
      <w:jc w:val="center"/>
      <w:outlineLvl w:val="0"/>
    </w:pPr>
    <w:rPr>
      <w:color w:val="FFFFFF"/>
    </w:rPr>
  </w:style>
  <w:style w:type="paragraph" w:customStyle="1" w:styleId="80">
    <w:name w:val="封面正文"/>
    <w:uiPriority w:val="0"/>
    <w:pPr>
      <w:jc w:val="both"/>
    </w:pPr>
    <w:rPr>
      <w:rFonts w:ascii="Times New Roman" w:hAnsi="Times New Roman" w:eastAsia="宋体" w:cs="Times New Roman"/>
      <w:lang w:val="en-US" w:eastAsia="zh-CN" w:bidi="ar-SA"/>
    </w:rPr>
  </w:style>
  <w:style w:type="paragraph" w:customStyle="1" w:styleId="81">
    <w:name w:val="封面标准文稿编辑信息"/>
    <w:basedOn w:val="82"/>
    <w:uiPriority w:val="0"/>
    <w:pPr>
      <w:framePr/>
      <w:spacing w:before="180" w:line="180" w:lineRule="exact"/>
    </w:pPr>
    <w:rPr>
      <w:sz w:val="21"/>
    </w:rPr>
  </w:style>
  <w:style w:type="paragraph" w:customStyle="1" w:styleId="82">
    <w:name w:val="封面标准文稿类别"/>
    <w:basedOn w:val="83"/>
    <w:uiPriority w:val="0"/>
    <w:pPr>
      <w:framePr/>
      <w:spacing w:after="160" w:line="240" w:lineRule="auto"/>
    </w:pPr>
    <w:rPr>
      <w:sz w:val="24"/>
    </w:rPr>
  </w:style>
  <w:style w:type="paragraph" w:customStyle="1" w:styleId="83">
    <w:name w:val="封面一致性程度标识"/>
    <w:basedOn w:val="84"/>
    <w:qFormat/>
    <w:uiPriority w:val="0"/>
    <w:pPr>
      <w:framePr/>
      <w:spacing w:before="440"/>
    </w:pPr>
    <w:rPr>
      <w:rFonts w:ascii="宋体" w:eastAsia="宋体"/>
    </w:rPr>
  </w:style>
  <w:style w:type="paragraph" w:customStyle="1" w:styleId="84">
    <w:name w:val="封面标准英文名称"/>
    <w:basedOn w:val="85"/>
    <w:uiPriority w:val="0"/>
    <w:pPr>
      <w:framePr/>
      <w:spacing w:before="370" w:line="400" w:lineRule="exact"/>
    </w:pPr>
    <w:rPr>
      <w:rFonts w:ascii="Times New Roman"/>
      <w:sz w:val="28"/>
      <w:szCs w:val="28"/>
    </w:rPr>
  </w:style>
  <w:style w:type="paragraph" w:customStyle="1" w:styleId="85">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7">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9">
    <w:name w:val="图表脚注说明"/>
    <w:basedOn w:val="1"/>
    <w:uiPriority w:val="0"/>
    <w:pPr>
      <w:ind w:left="544" w:hanging="181"/>
    </w:pPr>
    <w:rPr>
      <w:rFonts w:ascii="宋体"/>
      <w:sz w:val="18"/>
      <w:szCs w:val="18"/>
    </w:rPr>
  </w:style>
  <w:style w:type="paragraph" w:customStyle="1" w:styleId="90">
    <w:name w:val="附录公式编号制表符"/>
    <w:basedOn w:val="1"/>
    <w:next w:val="42"/>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标题"/>
    <w:basedOn w:val="42"/>
    <w:next w:val="42"/>
    <w:uiPriority w:val="0"/>
    <w:pPr>
      <w:ind w:firstLine="0" w:firstLineChars="0"/>
      <w:jc w:val="center"/>
    </w:pPr>
    <w:rPr>
      <w:rFonts w:ascii="黑体" w:eastAsia="黑体"/>
    </w:rPr>
  </w:style>
  <w:style w:type="paragraph" w:customStyle="1" w:styleId="92">
    <w:name w:val="图的脚注"/>
    <w:next w:val="4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3">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94">
    <w:name w:val="三级无"/>
    <w:basedOn w:val="95"/>
    <w:uiPriority w:val="0"/>
    <w:pPr>
      <w:spacing w:beforeLines="0" w:afterLines="0"/>
    </w:pPr>
    <w:rPr>
      <w:rFonts w:ascii="宋体" w:eastAsia="宋体"/>
    </w:rPr>
  </w:style>
  <w:style w:type="paragraph" w:customStyle="1" w:styleId="95">
    <w:name w:val="三级条标题"/>
    <w:basedOn w:val="75"/>
    <w:next w:val="42"/>
    <w:qFormat/>
    <w:uiPriority w:val="0"/>
    <w:pPr>
      <w:outlineLvl w:val="4"/>
    </w:pPr>
  </w:style>
  <w:style w:type="paragraph" w:customStyle="1" w:styleId="96">
    <w:name w:val="其他发布部门"/>
    <w:basedOn w:val="97"/>
    <w:uiPriority w:val="0"/>
    <w:pPr>
      <w:framePr w:y="15310"/>
      <w:spacing w:line="0" w:lineRule="atLeast"/>
    </w:pPr>
    <w:rPr>
      <w:rFonts w:ascii="黑体" w:eastAsia="黑体"/>
      <w:b w:val="0"/>
    </w:rPr>
  </w:style>
  <w:style w:type="paragraph" w:customStyle="1" w:styleId="97">
    <w:name w:val="发布部门"/>
    <w:next w:val="42"/>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附录图标题"/>
    <w:basedOn w:val="1"/>
    <w:next w:val="42"/>
    <w:uiPriority w:val="0"/>
    <w:pPr>
      <w:tabs>
        <w:tab w:val="left" w:pos="363"/>
      </w:tabs>
      <w:spacing w:beforeLines="50" w:afterLines="50"/>
      <w:jc w:val="center"/>
    </w:pPr>
    <w:rPr>
      <w:rFonts w:ascii="黑体" w:eastAsia="黑体"/>
      <w:szCs w:val="21"/>
    </w:rPr>
  </w:style>
  <w:style w:type="paragraph" w:customStyle="1" w:styleId="99">
    <w:name w:val="其他实施日期"/>
    <w:basedOn w:val="71"/>
    <w:uiPriority w:val="0"/>
    <w:pPr>
      <w:framePr/>
    </w:pPr>
  </w:style>
  <w:style w:type="paragraph" w:customStyle="1" w:styleId="100">
    <w:name w:val="注×：（正文）"/>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参考文献"/>
    <w:basedOn w:val="1"/>
    <w:next w:val="4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2">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3">
    <w:name w:val="注："/>
    <w:next w:val="42"/>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4">
    <w:name w:val="条文脚注"/>
    <w:basedOn w:val="22"/>
    <w:uiPriority w:val="0"/>
    <w:pPr>
      <w:ind w:left="0" w:firstLine="0"/>
      <w:jc w:val="both"/>
    </w:pPr>
  </w:style>
  <w:style w:type="paragraph" w:customStyle="1" w:styleId="105">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106">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7">
    <w:name w:val="附录五级无"/>
    <w:basedOn w:val="108"/>
    <w:uiPriority w:val="0"/>
    <w:pPr>
      <w:tabs>
        <w:tab w:val="left" w:pos="360"/>
      </w:tabs>
      <w:spacing w:beforeLines="0" w:afterLines="0"/>
    </w:pPr>
    <w:rPr>
      <w:rFonts w:ascii="宋体" w:eastAsia="宋体"/>
      <w:szCs w:val="21"/>
    </w:rPr>
  </w:style>
  <w:style w:type="paragraph" w:customStyle="1" w:styleId="108">
    <w:name w:val="附录五级条标题"/>
    <w:basedOn w:val="65"/>
    <w:next w:val="42"/>
    <w:uiPriority w:val="0"/>
    <w:pPr>
      <w:outlineLvl w:val="6"/>
    </w:pPr>
  </w:style>
  <w:style w:type="paragraph" w:customStyle="1" w:styleId="10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0">
    <w:name w:val="终结线"/>
    <w:basedOn w:val="1"/>
    <w:uiPriority w:val="0"/>
    <w:pPr>
      <w:framePr w:hSpace="181" w:vSpace="181" w:wrap="around" w:vAnchor="text" w:hAnchor="margin" w:xAlign="center" w:y="285"/>
    </w:pPr>
  </w:style>
  <w:style w:type="paragraph" w:customStyle="1" w:styleId="111">
    <w:name w:val="图标脚注说明"/>
    <w:basedOn w:val="42"/>
    <w:uiPriority w:val="0"/>
    <w:pPr>
      <w:ind w:left="840" w:hanging="420" w:firstLineChars="0"/>
    </w:pPr>
    <w:rPr>
      <w:sz w:val="18"/>
      <w:szCs w:val="18"/>
    </w:rPr>
  </w:style>
  <w:style w:type="paragraph" w:customStyle="1" w:styleId="1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3">
    <w:name w:val="注：（正文）"/>
    <w:basedOn w:val="103"/>
    <w:next w:val="42"/>
    <w:uiPriority w:val="0"/>
  </w:style>
  <w:style w:type="paragraph" w:customStyle="1" w:styleId="114">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表标号"/>
    <w:basedOn w:val="1"/>
    <w:next w:val="42"/>
    <w:uiPriority w:val="0"/>
    <w:pPr>
      <w:spacing w:line="14" w:lineRule="exact"/>
      <w:ind w:left="811" w:hanging="448"/>
      <w:jc w:val="center"/>
      <w:outlineLvl w:val="0"/>
    </w:pPr>
    <w:rPr>
      <w:color w:val="FFFFFF"/>
    </w:rPr>
  </w:style>
  <w:style w:type="paragraph" w:customStyle="1" w:styleId="116">
    <w:name w:val="封面标准文稿类别2"/>
    <w:basedOn w:val="82"/>
    <w:uiPriority w:val="0"/>
    <w:pPr>
      <w:framePr w:y="4469"/>
    </w:pPr>
  </w:style>
  <w:style w:type="paragraph" w:customStyle="1" w:styleId="117">
    <w:name w:val="示例×："/>
    <w:basedOn w:val="78"/>
    <w:qFormat/>
    <w:uiPriority w:val="0"/>
    <w:pPr>
      <w:spacing w:beforeLines="0" w:afterLines="0"/>
      <w:ind w:firstLine="363"/>
      <w:outlineLvl w:val="9"/>
    </w:pPr>
    <w:rPr>
      <w:rFonts w:ascii="宋体" w:eastAsia="宋体"/>
      <w:sz w:val="18"/>
      <w:szCs w:val="18"/>
    </w:rPr>
  </w:style>
  <w:style w:type="paragraph" w:customStyle="1" w:styleId="118">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9">
    <w:name w:val="其他发布日期"/>
    <w:basedOn w:val="72"/>
    <w:uiPriority w:val="0"/>
    <w:pPr>
      <w:framePr w:vAnchor="page" w:hAnchor="text" w:x="1419"/>
    </w:pPr>
  </w:style>
  <w:style w:type="paragraph" w:customStyle="1" w:styleId="120">
    <w:name w:val="四级条标题"/>
    <w:basedOn w:val="95"/>
    <w:next w:val="42"/>
    <w:uiPriority w:val="0"/>
    <w:pPr>
      <w:outlineLvl w:val="5"/>
    </w:pPr>
  </w:style>
  <w:style w:type="paragraph" w:customStyle="1" w:styleId="121">
    <w:name w:val="其他标准标志"/>
    <w:basedOn w:val="118"/>
    <w:uiPriority w:val="0"/>
    <w:pPr>
      <w:framePr w:w="6101" w:vAnchor="page" w:hAnchor="page" w:x="4673" w:y="942"/>
    </w:pPr>
    <w:rPr>
      <w:w w:val="130"/>
    </w:rPr>
  </w:style>
  <w:style w:type="paragraph" w:customStyle="1" w:styleId="122">
    <w:name w:val="标准书眉_偶数页"/>
    <w:basedOn w:val="66"/>
    <w:next w:val="1"/>
    <w:uiPriority w:val="0"/>
    <w:pPr>
      <w:jc w:val="left"/>
    </w:pPr>
  </w:style>
  <w:style w:type="paragraph" w:customStyle="1" w:styleId="123">
    <w:name w:val="参考文献、索引标题"/>
    <w:basedOn w:val="1"/>
    <w:next w:val="4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5">
    <w:name w:val="附录表标题"/>
    <w:basedOn w:val="1"/>
    <w:next w:val="42"/>
    <w:qFormat/>
    <w:uiPriority w:val="0"/>
    <w:pPr>
      <w:tabs>
        <w:tab w:val="left" w:pos="180"/>
      </w:tabs>
      <w:spacing w:beforeLines="50" w:afterLines="50"/>
      <w:jc w:val="center"/>
    </w:pPr>
    <w:rPr>
      <w:rFonts w:ascii="黑体" w:eastAsia="黑体"/>
      <w:szCs w:val="21"/>
    </w:rPr>
  </w:style>
  <w:style w:type="paragraph" w:customStyle="1" w:styleId="126">
    <w:name w:val="标准书眉一"/>
    <w:uiPriority w:val="0"/>
    <w:pPr>
      <w:jc w:val="both"/>
    </w:pPr>
    <w:rPr>
      <w:rFonts w:ascii="Times New Roman" w:hAnsi="Times New Roman" w:eastAsia="宋体" w:cs="Times New Roman"/>
      <w:lang w:val="en-US" w:eastAsia="zh-CN" w:bidi="ar-SA"/>
    </w:rPr>
  </w:style>
  <w:style w:type="paragraph" w:customStyle="1" w:styleId="127">
    <w:name w:val="示例"/>
    <w:next w:val="12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9">
    <w:name w:val="五级无"/>
    <w:basedOn w:val="130"/>
    <w:qFormat/>
    <w:uiPriority w:val="0"/>
    <w:pPr>
      <w:spacing w:beforeLines="0" w:afterLines="0"/>
    </w:pPr>
    <w:rPr>
      <w:rFonts w:ascii="宋体" w:eastAsia="宋体"/>
    </w:rPr>
  </w:style>
  <w:style w:type="paragraph" w:customStyle="1" w:styleId="130">
    <w:name w:val="五级条标题"/>
    <w:basedOn w:val="120"/>
    <w:next w:val="42"/>
    <w:qFormat/>
    <w:uiPriority w:val="0"/>
    <w:pPr>
      <w:outlineLvl w:val="6"/>
    </w:pPr>
  </w:style>
  <w:style w:type="paragraph" w:customStyle="1" w:styleId="131">
    <w:name w:val="封面标准英文名称2"/>
    <w:basedOn w:val="84"/>
    <w:qFormat/>
    <w:uiPriority w:val="0"/>
    <w:pPr>
      <w:framePr w:y="4469"/>
    </w:pPr>
  </w:style>
  <w:style w:type="paragraph" w:customStyle="1" w:styleId="132">
    <w:name w:val="正文表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正文图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封面一致性程度标识2"/>
    <w:basedOn w:val="83"/>
    <w:qFormat/>
    <w:uiPriority w:val="0"/>
    <w:pPr>
      <w:framePr w:y="4469"/>
    </w:pPr>
  </w:style>
  <w:style w:type="paragraph" w:customStyle="1" w:styleId="135">
    <w:name w:val="封面标准文稿编辑信息2"/>
    <w:basedOn w:val="81"/>
    <w:qFormat/>
    <w:uiPriority w:val="0"/>
    <w:pPr>
      <w:framePr w:y="4469"/>
    </w:pPr>
  </w:style>
  <w:style w:type="paragraph" w:customStyle="1" w:styleId="136">
    <w:name w:val="四级无"/>
    <w:basedOn w:val="120"/>
    <w:qFormat/>
    <w:uiPriority w:val="0"/>
    <w:pPr>
      <w:spacing w:beforeLines="0" w:afterLines="0"/>
    </w:pPr>
    <w:rPr>
      <w:rFonts w:ascii="宋体" w:eastAsia="宋体"/>
    </w:rPr>
  </w:style>
  <w:style w:type="paragraph" w:customStyle="1" w:styleId="137">
    <w:name w:val="列项◆（三级）"/>
    <w:basedOn w:val="1"/>
    <w:qFormat/>
    <w:uiPriority w:val="0"/>
    <w:pPr>
      <w:tabs>
        <w:tab w:val="left" w:pos="1678"/>
      </w:tabs>
      <w:ind w:left="1678" w:hanging="414"/>
    </w:pPr>
    <w:rPr>
      <w:rFonts w:ascii="宋体"/>
      <w:szCs w:val="21"/>
    </w:rPr>
  </w:style>
  <w:style w:type="paragraph" w:customStyle="1" w:styleId="138">
    <w:name w:val="正文公式编号制表符"/>
    <w:basedOn w:val="42"/>
    <w:next w:val="42"/>
    <w:qFormat/>
    <w:uiPriority w:val="0"/>
    <w:pPr>
      <w:ind w:firstLine="0" w:firstLineChars="0"/>
    </w:pPr>
  </w:style>
  <w:style w:type="paragraph" w:customStyle="1" w:styleId="139">
    <w:name w:val="目次、标准名称标题"/>
    <w:basedOn w:val="1"/>
    <w:next w:val="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附录标识"/>
    <w:basedOn w:val="1"/>
    <w:next w:val="4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3">
    <w:name w:val="前言、引言标题"/>
    <w:next w:val="4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附录四级无"/>
    <w:basedOn w:val="65"/>
    <w:qFormat/>
    <w:uiPriority w:val="0"/>
    <w:pPr>
      <w:tabs>
        <w:tab w:val="clear" w:pos="360"/>
      </w:tabs>
      <w:spacing w:beforeLines="0" w:afterLines="0"/>
    </w:pPr>
    <w:rPr>
      <w:rFonts w:ascii="宋体" w:eastAsia="宋体"/>
      <w:szCs w:val="21"/>
    </w:rPr>
  </w:style>
  <w:style w:type="paragraph" w:customStyle="1" w:styleId="147">
    <w:name w:val="封面标准名称2"/>
    <w:basedOn w:val="85"/>
    <w:qFormat/>
    <w:uiPriority w:val="0"/>
    <w:pPr>
      <w:framePr w:y="4469"/>
      <w:spacing w:beforeLines="630"/>
    </w:p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一级无"/>
    <w:basedOn w:val="76"/>
    <w:qFormat/>
    <w:uiPriority w:val="0"/>
    <w:pPr>
      <w:spacing w:beforeLines="0" w:afterLines="0"/>
    </w:pPr>
    <w:rPr>
      <w:rFonts w:ascii="宋体" w:eastAsia="宋体"/>
    </w:rPr>
  </w:style>
  <w:style w:type="paragraph" w:customStyle="1" w:styleId="150">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1">
    <w:name w:val="TOC 标题1"/>
    <w:basedOn w:val="2"/>
    <w:next w:val="1"/>
    <w:semiHidden/>
    <w:unhideWhenUsed/>
    <w:qFormat/>
    <w:uiPriority w:val="39"/>
    <w:pPr>
      <w:outlineLvl w:val="9"/>
    </w:pPr>
  </w:style>
  <w:style w:type="paragraph" w:styleId="152">
    <w:name w:val="List Paragraph"/>
    <w:basedOn w:val="1"/>
    <w:qFormat/>
    <w:uiPriority w:val="34"/>
    <w:pPr>
      <w:ind w:firstLine="420" w:firstLineChars="200"/>
    </w:pPr>
    <w:rPr>
      <w:rFonts w:ascii="Calibri" w:hAnsi="Calibri"/>
      <w:szCs w:val="22"/>
    </w:rPr>
  </w:style>
  <w:style w:type="character" w:customStyle="1" w:styleId="153">
    <w:name w:val="批注框文本 Char"/>
    <w:basedOn w:val="31"/>
    <w:link w:val="1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3170</Words>
  <Characters>18071</Characters>
  <Lines>150</Lines>
  <Paragraphs>42</Paragraphs>
  <TotalTime>1</TotalTime>
  <ScaleCrop>false</ScaleCrop>
  <LinksUpToDate>false</LinksUpToDate>
  <CharactersWithSpaces>21199</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2019-06-06T08:08:00Z</dcterms:created>
  <dc:creator>孙璇</dc:creator>
  <cp:lastModifiedBy>阿不</cp:lastModifiedBy>
  <cp:lastPrinted>2019-07-04T07:56:00Z</cp:lastPrinted>
  <dcterms:modified xsi:type="dcterms:W3CDTF">2019-07-08T01:51:04Z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